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rFonts w:ascii="Calibri" w:hAnsi="Calibri"/>
          <w:b/>
          <w:i w:val="0"/>
          <w:color w:val="2563EB"/>
          <w:sz w:val="26"/>
        </w:rPr>
        <w:t>PDLC VSM Platform</w:t>
      </w:r>
    </w:p>
    <w:p>
      <w:r>
        <w:rPr>
          <w:rFonts w:ascii="Calibri" w:hAnsi="Calibri"/>
          <w:b w:val="0"/>
          <w:i w:val="0"/>
          <w:color w:val="0F2D5E"/>
          <w:sz w:val="22"/>
        </w:rPr>
        <w:t>GTM Pack — Set 3: Scale Implementation Pack</w:t>
      </w:r>
    </w:p>
    <w:p/>
    <w:p>
      <w:r>
        <w:rPr>
          <w:rFonts w:ascii="Calibri" w:hAnsi="Calibri"/>
          <w:b/>
          <w:i w:val="0"/>
          <w:color w:val="0F2D5E"/>
          <w:sz w:val="44"/>
        </w:rPr>
        <w:t>Enterprise Governance Model</w:t>
      </w:r>
    </w:p>
    <w:p>
      <w:r>
        <w:rPr>
          <w:rFonts w:ascii="Calibri" w:hAnsi="Calibri"/>
          <w:b w:val="0"/>
          <w:i/>
          <w:color w:val="2563EB"/>
          <w:sz w:val="24"/>
        </w:rPr>
        <w:t>Operating Model for PDLC VSM Platform at Scale</w:t>
      </w:r>
    </w:p>
    <w:p/>
    <w:p/>
    <w:p>
      <w:pPr>
        <w:spacing w:before="120" w:after="120"/>
        <w:pBdr>
          <w:bottom w:val="single" w:sz="6" w:space="1" w:color="2563EB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Document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Classification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DOC-SET3-24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v1.0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March 2026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Commercial Confidential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Purpose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This document defines the governance model for operating the PDLC VSM Platform at enterprise scale — across multiple teams, portfolios, and geographies. It covers decision rights, data governance, platform administration, insight quality standards, and executive reporting.</w:t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Governance Structure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Steering Committee (Monthly)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Title</w:t>
            </w:r>
          </w:p>
        </w:tc>
        <w:tc>
          <w:tcPr>
            <w:tcW w:type="dxa" w:w="72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Executive Sponsor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CTO / CDO</w:t>
            </w:r>
          </w:p>
        </w:tc>
        <w:tc>
          <w:tcPr>
            <w:tcW w:type="dxa" w:w="72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Overall programme accountability; investment decisions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Owner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VP Engineering / DevOps Lead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strategy, roadmap, and benefit realisation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Data Governance Lead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Head of Data / CISO</w:t>
            </w:r>
          </w:p>
        </w:tc>
        <w:tc>
          <w:tcPr>
            <w:tcW w:type="dxa" w:w="72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Data access, privacy, quality, and audit standards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Finance Lead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CFO delegate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ROI tracking, benefits realisation, budget oversight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Change Management Lead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HR / Transformation Lead</w:t>
            </w:r>
          </w:p>
        </w:tc>
        <w:tc>
          <w:tcPr>
            <w:tcW w:type="dxa" w:w="72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Organisational change, adoption, and training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Portfolio Representatives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Product Group Leads (×3–5)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Team-level reporting, escalation, and feedback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Platform Administration Team (Weekly)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57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Responsibility</w:t>
            </w:r>
          </w:p>
        </w:tc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FTE Required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Administrator</w:t>
            </w:r>
          </w:p>
        </w:tc>
        <w:tc>
          <w:tcPr>
            <w:tcW w:type="dxa" w:w="57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Day-to-day platform operations, user management, agent runs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0.5 FTE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Data Integration Lead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ALM connector maintenance, data quality monitoring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0.25 FTE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Insight Analyst</w:t>
            </w:r>
          </w:p>
        </w:tc>
        <w:tc>
          <w:tcPr>
            <w:tcW w:type="dxa" w:w="57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Results validation, executive reporting, benchmark updates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0.5 FTE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Security &amp; Compliance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Audit log review, access control, data governance adherence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0.1 FTE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Data Governance Policy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Data Classification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Data Type</w:t>
            </w:r>
          </w:p>
        </w:tc>
        <w:tc>
          <w:tcPr>
            <w:tcW w:type="dxa" w:w="21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Classification</w:t>
            </w:r>
          </w:p>
        </w:tc>
        <w:tc>
          <w:tcPr>
            <w:tcW w:type="dxa" w:w="21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Retention</w:t>
            </w:r>
          </w:p>
        </w:tc>
        <w:tc>
          <w:tcPr>
            <w:tcW w:type="dxa" w:w="432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Access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ALM ticket data (anonymised)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Confidential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 years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admins + analysts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ALM ticket data (with names)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Restricted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90 days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admins only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 analysis outputs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Internal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 years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users + executives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Audit logs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Confidential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 years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admins + compliance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Benchmark database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Internal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Indefinite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All platform users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Business case models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Restricted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 years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Finance + executive sponsors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Data Quality Standards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ALM data must have ≥85% resolved dates populated for VSM accuracy to be within ±10%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New ticket data must be validated within 5 business days of each sprint close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DORA source connections must be verified green at the start of each monthly governance cycle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Any manual override must be documented with a rationale in the platform notes field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Benchmark database refreshed quarterly from published DORA, Gartner, and IDC sources</w:t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Insight Quality Gates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1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Gate</w:t>
            </w:r>
          </w:p>
        </w:tc>
        <w:tc>
          <w:tcPr>
            <w:tcW w:type="dxa" w:w="259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Trigger</w:t>
            </w:r>
          </w:p>
        </w:tc>
        <w:tc>
          <w:tcPr>
            <w:tcW w:type="dxa" w:w="259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Reviewer</w:t>
            </w:r>
          </w:p>
        </w:tc>
        <w:tc>
          <w:tcPr>
            <w:tcW w:type="dxa" w:w="331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Standard</w:t>
            </w:r>
          </w:p>
        </w:tc>
        <w:tc>
          <w:tcPr>
            <w:tcW w:type="dxa" w:w="3024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Action if Failed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G1: Data Quality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Monthly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Data Integration Lead</w:t>
            </w:r>
          </w:p>
        </w:tc>
        <w:tc>
          <w:tcPr>
            <w:tcW w:type="dxa" w:w="331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≥85% date completeness</w:t>
            </w:r>
          </w:p>
        </w:tc>
        <w:tc>
          <w:tcPr>
            <w:tcW w:type="dxa" w:w="3024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Data remediation sprint before analysis run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G2: Agent Run Validation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Post-run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Insight Analyst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VSM within ±10% of prior baseline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Manual override and re-run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G3: Bottleneck Review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Pre-readout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Eng SME</w:t>
            </w:r>
          </w:p>
        </w:tc>
        <w:tc>
          <w:tcPr>
            <w:tcW w:type="dxa" w:w="331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Top 3 bottlenecks validated by engineer</w:t>
            </w:r>
          </w:p>
        </w:tc>
        <w:tc>
          <w:tcPr>
            <w:tcW w:type="dxa" w:w="3024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Adjust confidence, add caveat to readout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G4: Business Case Review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Pre-CFO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Finance Lead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ROI assumptions signed off by Finance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Revise assumptions, re-generate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G5: Executive Readout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Pre-board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Executive Sponsor</w:t>
            </w:r>
          </w:p>
        </w:tc>
        <w:tc>
          <w:tcPr>
            <w:tcW w:type="dxa" w:w="331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Deck reviewed and approved by sponsor</w:t>
            </w:r>
          </w:p>
        </w:tc>
        <w:tc>
          <w:tcPr>
            <w:tcW w:type="dxa" w:w="3024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Revise deck, re-brief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Reporting Cadence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Report</w:t>
            </w:r>
          </w:p>
        </w:tc>
        <w:tc>
          <w:tcPr>
            <w:tcW w:type="dxa" w:w="21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Frequency</w:t>
            </w:r>
          </w:p>
        </w:tc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Audience</w:t>
            </w:r>
          </w:p>
        </w:tc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Format</w:t>
            </w:r>
          </w:p>
        </w:tc>
        <w:tc>
          <w:tcPr>
            <w:tcW w:type="dxa" w:w="21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Team VSM Dashboard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Always-on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Team Leads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(live)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Admin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Portfolio Flow Efficiency Scorecard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Weekly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VP Eng / Head of DevOps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+ email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Insight Analyst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DORA Maturity Trend Report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Monthly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CTO + Portfolio Leads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+ PDF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Insight Analyst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Benefits Realisation Report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Monthly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CFO + Executive Sponsor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Word / PDF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Finance Lead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Executive Steering Report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Monthly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Steering Committee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Slide deck (8 slides)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Owner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Annual ROI Review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Annual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Board / ELT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Slide deck (15 slides)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Executive Sponsor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</w:rPr>
  </w:style>
  <w:style w:type="table" w:default="1" w:styleId="TableNormal">
    <w:name w:val="Normal Table"/>
    <w:uiPriority w:val="99"/>
    <w:semiHidden/>
    <w:unhideWhenUsed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