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i w:val="0"/>
          <w:color w:val="2563EB"/>
          <w:sz w:val="26"/>
        </w:rPr>
        <w:t>PDLC VSM Platform</w:t>
      </w:r>
    </w:p>
    <w:p>
      <w:r>
        <w:rPr>
          <w:rFonts w:ascii="Calibri" w:hAnsi="Calibri"/>
          <w:b w:val="0"/>
          <w:i w:val="0"/>
          <w:color w:val="0F2D5E"/>
          <w:sz w:val="22"/>
        </w:rPr>
        <w:t>GTM Pack — Set 3: Scale Implementation Pack</w:t>
      </w:r>
    </w:p>
    <w:p/>
    <w:p>
      <w:r>
        <w:rPr>
          <w:rFonts w:ascii="Calibri" w:hAnsi="Calibri"/>
          <w:b/>
          <w:i w:val="0"/>
          <w:color w:val="0F2D5E"/>
          <w:sz w:val="44"/>
        </w:rPr>
        <w:t>Change Management Plan</w:t>
      </w:r>
    </w:p>
    <w:p>
      <w:r>
        <w:rPr>
          <w:rFonts w:ascii="Calibri" w:hAnsi="Calibri"/>
          <w:b w:val="0"/>
          <w:i/>
          <w:color w:val="2563EB"/>
          <w:sz w:val="24"/>
        </w:rPr>
        <w:t>Managing Organisational Change for Enterprise Platform Adoption</w:t>
      </w:r>
    </w:p>
    <w:p/>
    <w:p/>
    <w:p>
      <w:pPr>
        <w:spacing w:before="120" w:after="120"/>
        <w:pBdr>
          <w:bottom w:val="single" w:sz="6" w:space="1" w:color="2563EB"/>
        </w:pBdr>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F2D5E"/>
          </w:tcPr>
          <w:p>
            <w:pPr>
              <w:jc w:val="center"/>
            </w:pPr>
            <w:r>
              <w:rPr>
                <w:rFonts w:ascii="Calibri" w:hAnsi="Calibri"/>
                <w:b/>
                <w:i w:val="0"/>
                <w:color w:val="FFFFFF"/>
                <w:sz w:val="19"/>
              </w:rPr>
              <w:t>Document</w:t>
            </w:r>
          </w:p>
        </w:tc>
        <w:tc>
          <w:tcPr>
            <w:tcW w:type="dxa" w:w="2351"/>
            <w:shd w:val="clear" w:color="auto" w:fill="0F2D5E"/>
          </w:tcPr>
          <w:p>
            <w:pPr>
              <w:jc w:val="center"/>
            </w:pPr>
            <w:r>
              <w:rPr>
                <w:rFonts w:ascii="Calibri" w:hAnsi="Calibri"/>
                <w:b/>
                <w:i w:val="0"/>
                <w:color w:val="FFFFFF"/>
                <w:sz w:val="19"/>
              </w:rPr>
              <w:t>Version</w:t>
            </w:r>
          </w:p>
        </w:tc>
        <w:tc>
          <w:tcPr>
            <w:tcW w:type="dxa" w:w="2351"/>
            <w:shd w:val="clear" w:color="auto" w:fill="0F2D5E"/>
          </w:tcPr>
          <w:p>
            <w:pPr>
              <w:jc w:val="center"/>
            </w:pPr>
            <w:r>
              <w:rPr>
                <w:rFonts w:ascii="Calibri" w:hAnsi="Calibri"/>
                <w:b/>
                <w:i w:val="0"/>
                <w:color w:val="FFFFFF"/>
                <w:sz w:val="19"/>
              </w:rPr>
              <w:t>Date</w:t>
            </w:r>
          </w:p>
        </w:tc>
        <w:tc>
          <w:tcPr>
            <w:tcW w:type="dxa" w:w="2351"/>
            <w:shd w:val="clear" w:color="auto" w:fill="0F2D5E"/>
          </w:tcPr>
          <w:p>
            <w:pPr>
              <w:jc w:val="center"/>
            </w:pPr>
            <w:r>
              <w:rPr>
                <w:rFonts w:ascii="Calibri" w:hAnsi="Calibri"/>
                <w:b/>
                <w:i w:val="0"/>
                <w:color w:val="FFFFFF"/>
                <w:sz w:val="19"/>
              </w:rPr>
              <w:t>Classification</w:t>
            </w:r>
          </w:p>
        </w:tc>
      </w:tr>
      <w:tr>
        <w:tc>
          <w:tcPr>
            <w:tcW w:type="dxa" w:w="2351"/>
            <w:shd w:val="clear" w:color="auto" w:fill="EFF6FF"/>
          </w:tcPr>
          <w:p>
            <w:r>
              <w:rPr>
                <w:rFonts w:ascii="Calibri" w:hAnsi="Calibri"/>
                <w:b w:val="0"/>
                <w:i w:val="0"/>
                <w:sz w:val="19"/>
              </w:rPr>
              <w:t>DOC-SET3-25</w:t>
            </w:r>
          </w:p>
        </w:tc>
        <w:tc>
          <w:tcPr>
            <w:tcW w:type="dxa" w:w="2351"/>
            <w:shd w:val="clear" w:color="auto" w:fill="EFF6FF"/>
          </w:tcPr>
          <w:p>
            <w:r>
              <w:rPr>
                <w:rFonts w:ascii="Calibri" w:hAnsi="Calibri"/>
                <w:b w:val="0"/>
                <w:i w:val="0"/>
                <w:sz w:val="19"/>
              </w:rPr>
              <w:t>v1.0</w:t>
            </w:r>
          </w:p>
        </w:tc>
        <w:tc>
          <w:tcPr>
            <w:tcW w:type="dxa" w:w="2351"/>
            <w:shd w:val="clear" w:color="auto" w:fill="EFF6FF"/>
          </w:tcPr>
          <w:p>
            <w:r>
              <w:rPr>
                <w:rFonts w:ascii="Calibri" w:hAnsi="Calibri"/>
                <w:b w:val="0"/>
                <w:i w:val="0"/>
                <w:sz w:val="19"/>
              </w:rPr>
              <w:t>March 2026</w:t>
            </w:r>
          </w:p>
        </w:tc>
        <w:tc>
          <w:tcPr>
            <w:tcW w:type="dxa" w:w="2351"/>
            <w:shd w:val="clear" w:color="auto" w:fill="EFF6FF"/>
          </w:tcPr>
          <w:p>
            <w:r>
              <w:rPr>
                <w:rFonts w:ascii="Calibri" w:hAnsi="Calibri"/>
                <w:b w:val="0"/>
                <w:i w:val="0"/>
                <w:sz w:val="19"/>
              </w:rPr>
              <w:t>Commercial Confidential</w:t>
            </w:r>
          </w:p>
        </w:tc>
      </w:tr>
    </w:tbl>
    <w:p/>
    <w:p>
      <w:r>
        <w:br w:type="page"/>
      </w:r>
    </w:p>
    <w:p>
      <w:pPr>
        <w:spacing w:before="280" w:after="80"/>
      </w:pPr>
      <w:r>
        <w:rPr>
          <w:rFonts w:ascii="Calibri" w:hAnsi="Calibri"/>
          <w:b/>
          <w:i w:val="0"/>
          <w:color w:val="0F2D5E"/>
          <w:sz w:val="32"/>
        </w:rPr>
        <w:t>Overview</w:t>
      </w:r>
    </w:p>
    <w:p>
      <w:pPr>
        <w:spacing w:after="80"/>
      </w:pPr>
      <w:r>
        <w:rPr>
          <w:rFonts w:ascii="Calibri" w:hAnsi="Calibri"/>
          <w:b w:val="0"/>
          <w:i w:val="0"/>
          <w:sz w:val="21"/>
        </w:rPr>
        <w:t>Deploying the PDLC VSM Platform at enterprise scale is as much an organisational change as a technical implementation. This plan addresses the human side of the transformation: stakeholder alignment, resistance management, capability building, and embedding continuous improvement as a cultural norm.</w:t>
      </w:r>
    </w:p>
    <w:p>
      <w:pPr>
        <w:spacing w:before="280" w:after="80"/>
      </w:pPr>
      <w:r>
        <w:rPr>
          <w:rFonts w:ascii="Calibri" w:hAnsi="Calibri"/>
          <w:b/>
          <w:i w:val="0"/>
          <w:color w:val="0F2D5E"/>
          <w:sz w:val="32"/>
        </w:rPr>
        <w:t>Stakeholder Analysis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2592"/>
            <w:shd w:val="clear" w:color="auto" w:fill="0F2D5E"/>
          </w:tcPr>
          <w:p>
            <w:pPr>
              <w:jc w:val="center"/>
            </w:pPr>
            <w:r>
              <w:rPr>
                <w:rFonts w:ascii="Calibri" w:hAnsi="Calibri"/>
                <w:b/>
                <w:i w:val="0"/>
                <w:color w:val="FFFFFF"/>
                <w:sz w:val="19"/>
              </w:rPr>
              <w:t>Stakeholder Group</w:t>
            </w:r>
          </w:p>
        </w:tc>
        <w:tc>
          <w:tcPr>
            <w:tcW w:type="dxa" w:w="1152"/>
            <w:shd w:val="clear" w:color="auto" w:fill="0F2D5E"/>
          </w:tcPr>
          <w:p>
            <w:pPr>
              <w:jc w:val="center"/>
            </w:pPr>
            <w:r>
              <w:rPr>
                <w:rFonts w:ascii="Calibri" w:hAnsi="Calibri"/>
                <w:b/>
                <w:i w:val="0"/>
                <w:color w:val="FFFFFF"/>
                <w:sz w:val="19"/>
              </w:rPr>
              <w:t>Count</w:t>
            </w:r>
          </w:p>
        </w:tc>
        <w:tc>
          <w:tcPr>
            <w:tcW w:type="dxa" w:w="2160"/>
            <w:shd w:val="clear" w:color="auto" w:fill="0F2D5E"/>
          </w:tcPr>
          <w:p>
            <w:pPr>
              <w:jc w:val="center"/>
            </w:pPr>
            <w:r>
              <w:rPr>
                <w:rFonts w:ascii="Calibri" w:hAnsi="Calibri"/>
                <w:b/>
                <w:i w:val="0"/>
                <w:color w:val="FFFFFF"/>
                <w:sz w:val="19"/>
              </w:rPr>
              <w:t>Current Attitude</w:t>
            </w:r>
          </w:p>
        </w:tc>
        <w:tc>
          <w:tcPr>
            <w:tcW w:type="dxa" w:w="1872"/>
            <w:shd w:val="clear" w:color="auto" w:fill="0F2D5E"/>
          </w:tcPr>
          <w:p>
            <w:pPr>
              <w:jc w:val="center"/>
            </w:pPr>
            <w:r>
              <w:rPr>
                <w:rFonts w:ascii="Calibri" w:hAnsi="Calibri"/>
                <w:b/>
                <w:i w:val="0"/>
                <w:color w:val="FFFFFF"/>
                <w:sz w:val="19"/>
              </w:rPr>
              <w:t>Desired Attitude</w:t>
            </w:r>
          </w:p>
        </w:tc>
        <w:tc>
          <w:tcPr>
            <w:tcW w:type="dxa" w:w="2880"/>
            <w:shd w:val="clear" w:color="auto" w:fill="0F2D5E"/>
          </w:tcPr>
          <w:p>
            <w:pPr>
              <w:jc w:val="center"/>
            </w:pPr>
            <w:r>
              <w:rPr>
                <w:rFonts w:ascii="Calibri" w:hAnsi="Calibri"/>
                <w:b/>
                <w:i w:val="0"/>
                <w:color w:val="FFFFFF"/>
                <w:sz w:val="19"/>
              </w:rPr>
              <w:t>Key Concern</w:t>
            </w:r>
          </w:p>
        </w:tc>
        <w:tc>
          <w:tcPr>
            <w:tcW w:type="dxa" w:w="3024"/>
            <w:shd w:val="clear" w:color="auto" w:fill="0F2D5E"/>
          </w:tcPr>
          <w:p>
            <w:pPr>
              <w:jc w:val="center"/>
            </w:pPr>
            <w:r>
              <w:rPr>
                <w:rFonts w:ascii="Calibri" w:hAnsi="Calibri"/>
                <w:b/>
                <w:i w:val="0"/>
                <w:color w:val="FFFFFF"/>
                <w:sz w:val="19"/>
              </w:rPr>
              <w:t>Engagement Strategy</w:t>
            </w:r>
          </w:p>
        </w:tc>
      </w:tr>
      <w:tr>
        <w:tc>
          <w:tcPr>
            <w:tcW w:type="dxa" w:w="2592"/>
            <w:shd w:val="clear" w:color="auto" w:fill="EFF6FF"/>
          </w:tcPr>
          <w:p>
            <w:r>
              <w:rPr>
                <w:rFonts w:ascii="Calibri" w:hAnsi="Calibri"/>
                <w:b w:val="0"/>
                <w:i w:val="0"/>
                <w:sz w:val="19"/>
              </w:rPr>
              <w:t>Engineering Leads</w:t>
            </w:r>
          </w:p>
        </w:tc>
        <w:tc>
          <w:tcPr>
            <w:tcW w:type="dxa" w:w="1152"/>
            <w:shd w:val="clear" w:color="auto" w:fill="EFF6FF"/>
          </w:tcPr>
          <w:p>
            <w:r>
              <w:rPr>
                <w:rFonts w:ascii="Calibri" w:hAnsi="Calibri"/>
                <w:b w:val="0"/>
                <w:i w:val="0"/>
                <w:sz w:val="19"/>
              </w:rPr>
              <w:t>5–20</w:t>
            </w:r>
          </w:p>
        </w:tc>
        <w:tc>
          <w:tcPr>
            <w:tcW w:type="dxa" w:w="2160"/>
            <w:shd w:val="clear" w:color="auto" w:fill="EFF6FF"/>
          </w:tcPr>
          <w:p>
            <w:r>
              <w:rPr>
                <w:rFonts w:ascii="Calibri" w:hAnsi="Calibri"/>
                <w:b w:val="0"/>
                <w:i w:val="0"/>
                <w:sz w:val="19"/>
              </w:rPr>
              <w:t>Skeptical / Curious</w:t>
            </w:r>
          </w:p>
        </w:tc>
        <w:tc>
          <w:tcPr>
            <w:tcW w:type="dxa" w:w="1872"/>
            <w:shd w:val="clear" w:color="auto" w:fill="EFF6FF"/>
          </w:tcPr>
          <w:p>
            <w:r>
              <w:rPr>
                <w:rFonts w:ascii="Calibri" w:hAnsi="Calibri"/>
                <w:b w:val="0"/>
                <w:i w:val="0"/>
                <w:sz w:val="19"/>
              </w:rPr>
              <w:t>Champion</w:t>
            </w:r>
          </w:p>
        </w:tc>
        <w:tc>
          <w:tcPr>
            <w:tcW w:type="dxa" w:w="2880"/>
            <w:shd w:val="clear" w:color="auto" w:fill="EFF6FF"/>
          </w:tcPr>
          <w:p>
            <w:r>
              <w:rPr>
                <w:rFonts w:ascii="Calibri" w:hAnsi="Calibri"/>
                <w:b w:val="0"/>
                <w:i w:val="0"/>
                <w:sz w:val="19"/>
              </w:rPr>
              <w:t>'Will this expose my team's performance?'</w:t>
            </w:r>
          </w:p>
        </w:tc>
        <w:tc>
          <w:tcPr>
            <w:tcW w:type="dxa" w:w="3024"/>
            <w:shd w:val="clear" w:color="auto" w:fill="EFF6FF"/>
          </w:tcPr>
          <w:p>
            <w:r>
              <w:rPr>
                <w:rFonts w:ascii="Calibri" w:hAnsi="Calibri"/>
                <w:b w:val="0"/>
                <w:i w:val="0"/>
                <w:sz w:val="19"/>
              </w:rPr>
              <w:t>1:1 briefings; show anonymisation; quick win wins them over</w:t>
            </w:r>
          </w:p>
        </w:tc>
      </w:tr>
      <w:tr>
        <w:tc>
          <w:tcPr>
            <w:tcW w:type="dxa" w:w="2592"/>
          </w:tcPr>
          <w:p>
            <w:r>
              <w:rPr>
                <w:rFonts w:ascii="Calibri" w:hAnsi="Calibri"/>
                <w:b w:val="0"/>
                <w:i w:val="0"/>
                <w:sz w:val="19"/>
              </w:rPr>
              <w:t>Senior Engineers</w:t>
            </w:r>
          </w:p>
        </w:tc>
        <w:tc>
          <w:tcPr>
            <w:tcW w:type="dxa" w:w="1152"/>
          </w:tcPr>
          <w:p>
            <w:r>
              <w:rPr>
                <w:rFonts w:ascii="Calibri" w:hAnsi="Calibri"/>
                <w:b w:val="0"/>
                <w:i w:val="0"/>
                <w:sz w:val="19"/>
              </w:rPr>
              <w:t>20–100</w:t>
            </w:r>
          </w:p>
        </w:tc>
        <w:tc>
          <w:tcPr>
            <w:tcW w:type="dxa" w:w="2160"/>
          </w:tcPr>
          <w:p>
            <w:r>
              <w:rPr>
                <w:rFonts w:ascii="Calibri" w:hAnsi="Calibri"/>
                <w:b w:val="0"/>
                <w:i w:val="0"/>
                <w:sz w:val="19"/>
              </w:rPr>
              <w:t>Resistant</w:t>
            </w:r>
          </w:p>
        </w:tc>
        <w:tc>
          <w:tcPr>
            <w:tcW w:type="dxa" w:w="1872"/>
          </w:tcPr>
          <w:p>
            <w:r>
              <w:rPr>
                <w:rFonts w:ascii="Calibri" w:hAnsi="Calibri"/>
                <w:b w:val="0"/>
                <w:i w:val="0"/>
                <w:sz w:val="19"/>
              </w:rPr>
              <w:t>Supportive</w:t>
            </w:r>
          </w:p>
        </w:tc>
        <w:tc>
          <w:tcPr>
            <w:tcW w:type="dxa" w:w="2880"/>
          </w:tcPr>
          <w:p>
            <w:r>
              <w:rPr>
                <w:rFonts w:ascii="Calibri" w:hAnsi="Calibri"/>
                <w:b w:val="0"/>
                <w:i w:val="0"/>
                <w:sz w:val="19"/>
              </w:rPr>
              <w:t>'More process overhead'</w:t>
            </w:r>
          </w:p>
        </w:tc>
        <w:tc>
          <w:tcPr>
            <w:tcW w:type="dxa" w:w="3024"/>
          </w:tcPr>
          <w:p>
            <w:r>
              <w:rPr>
                <w:rFonts w:ascii="Calibri" w:hAnsi="Calibri"/>
                <w:b w:val="0"/>
                <w:i w:val="0"/>
                <w:sz w:val="19"/>
              </w:rPr>
              <w:t>Show automation angle; time savings demo; involve in validation</w:t>
            </w:r>
          </w:p>
        </w:tc>
      </w:tr>
      <w:tr>
        <w:tc>
          <w:tcPr>
            <w:tcW w:type="dxa" w:w="2592"/>
            <w:shd w:val="clear" w:color="auto" w:fill="EFF6FF"/>
          </w:tcPr>
          <w:p>
            <w:r>
              <w:rPr>
                <w:rFonts w:ascii="Calibri" w:hAnsi="Calibri"/>
                <w:b w:val="0"/>
                <w:i w:val="0"/>
                <w:sz w:val="19"/>
              </w:rPr>
              <w:t>QA Engineers</w:t>
            </w:r>
          </w:p>
        </w:tc>
        <w:tc>
          <w:tcPr>
            <w:tcW w:type="dxa" w:w="1152"/>
            <w:shd w:val="clear" w:color="auto" w:fill="EFF6FF"/>
          </w:tcPr>
          <w:p>
            <w:r>
              <w:rPr>
                <w:rFonts w:ascii="Calibri" w:hAnsi="Calibri"/>
                <w:b w:val="0"/>
                <w:i w:val="0"/>
                <w:sz w:val="19"/>
              </w:rPr>
              <w:t>10–50</w:t>
            </w:r>
          </w:p>
        </w:tc>
        <w:tc>
          <w:tcPr>
            <w:tcW w:type="dxa" w:w="2160"/>
            <w:shd w:val="clear" w:color="auto" w:fill="EFF6FF"/>
          </w:tcPr>
          <w:p>
            <w:r>
              <w:rPr>
                <w:rFonts w:ascii="Calibri" w:hAnsi="Calibri"/>
                <w:b w:val="0"/>
                <w:i w:val="0"/>
                <w:sz w:val="19"/>
              </w:rPr>
              <w:t>Interested</w:t>
            </w:r>
          </w:p>
        </w:tc>
        <w:tc>
          <w:tcPr>
            <w:tcW w:type="dxa" w:w="1872"/>
            <w:shd w:val="clear" w:color="auto" w:fill="EFF6FF"/>
          </w:tcPr>
          <w:p>
            <w:r>
              <w:rPr>
                <w:rFonts w:ascii="Calibri" w:hAnsi="Calibri"/>
                <w:b w:val="0"/>
                <w:i w:val="0"/>
                <w:sz w:val="19"/>
              </w:rPr>
              <w:t>Champion</w:t>
            </w:r>
          </w:p>
        </w:tc>
        <w:tc>
          <w:tcPr>
            <w:tcW w:type="dxa" w:w="2880"/>
            <w:shd w:val="clear" w:color="auto" w:fill="EFF6FF"/>
          </w:tcPr>
          <w:p>
            <w:r>
              <w:rPr>
                <w:rFonts w:ascii="Calibri" w:hAnsi="Calibri"/>
                <w:b w:val="0"/>
                <w:i w:val="0"/>
                <w:sz w:val="19"/>
              </w:rPr>
              <w:t>'Will AI replace our testing role?'</w:t>
            </w:r>
          </w:p>
        </w:tc>
        <w:tc>
          <w:tcPr>
            <w:tcW w:type="dxa" w:w="3024"/>
            <w:shd w:val="clear" w:color="auto" w:fill="EFF6FF"/>
          </w:tcPr>
          <w:p>
            <w:r>
              <w:rPr>
                <w:rFonts w:ascii="Calibri" w:hAnsi="Calibri"/>
                <w:b w:val="0"/>
                <w:i w:val="0"/>
                <w:sz w:val="19"/>
              </w:rPr>
              <w:t>Position as AI-augmented; show bottleneck focus on process not people</w:t>
            </w:r>
          </w:p>
        </w:tc>
      </w:tr>
      <w:tr>
        <w:tc>
          <w:tcPr>
            <w:tcW w:type="dxa" w:w="2592"/>
          </w:tcPr>
          <w:p>
            <w:r>
              <w:rPr>
                <w:rFonts w:ascii="Calibri" w:hAnsi="Calibri"/>
                <w:b w:val="0"/>
                <w:i w:val="0"/>
                <w:sz w:val="19"/>
              </w:rPr>
              <w:t>DevOps Engineers</w:t>
            </w:r>
          </w:p>
        </w:tc>
        <w:tc>
          <w:tcPr>
            <w:tcW w:type="dxa" w:w="1152"/>
          </w:tcPr>
          <w:p>
            <w:r>
              <w:rPr>
                <w:rFonts w:ascii="Calibri" w:hAnsi="Calibri"/>
                <w:b w:val="0"/>
                <w:i w:val="0"/>
                <w:sz w:val="19"/>
              </w:rPr>
              <w:t>5–20</w:t>
            </w:r>
          </w:p>
        </w:tc>
        <w:tc>
          <w:tcPr>
            <w:tcW w:type="dxa" w:w="2160"/>
          </w:tcPr>
          <w:p>
            <w:r>
              <w:rPr>
                <w:rFonts w:ascii="Calibri" w:hAnsi="Calibri"/>
                <w:b w:val="0"/>
                <w:i w:val="0"/>
                <w:sz w:val="19"/>
              </w:rPr>
              <w:t>Very Interested</w:t>
            </w:r>
          </w:p>
        </w:tc>
        <w:tc>
          <w:tcPr>
            <w:tcW w:type="dxa" w:w="1872"/>
          </w:tcPr>
          <w:p>
            <w:r>
              <w:rPr>
                <w:rFonts w:ascii="Calibri" w:hAnsi="Calibri"/>
                <w:b w:val="0"/>
                <w:i w:val="0"/>
                <w:sz w:val="19"/>
              </w:rPr>
              <w:t>Champion</w:t>
            </w:r>
          </w:p>
        </w:tc>
        <w:tc>
          <w:tcPr>
            <w:tcW w:type="dxa" w:w="2880"/>
          </w:tcPr>
          <w:p>
            <w:r>
              <w:rPr>
                <w:rFonts w:ascii="Calibri" w:hAnsi="Calibri"/>
                <w:b w:val="0"/>
                <w:i w:val="0"/>
                <w:sz w:val="19"/>
              </w:rPr>
              <w:t>'Finally — data to justify what we've been saying'</w:t>
            </w:r>
          </w:p>
        </w:tc>
        <w:tc>
          <w:tcPr>
            <w:tcW w:type="dxa" w:w="3024"/>
          </w:tcPr>
          <w:p>
            <w:r>
              <w:rPr>
                <w:rFonts w:ascii="Calibri" w:hAnsi="Calibri"/>
                <w:b w:val="0"/>
                <w:i w:val="0"/>
                <w:sz w:val="19"/>
              </w:rPr>
              <w:t>Early access; involve in DORA configuration; make them advocates</w:t>
            </w:r>
          </w:p>
        </w:tc>
      </w:tr>
      <w:tr>
        <w:tc>
          <w:tcPr>
            <w:tcW w:type="dxa" w:w="2592"/>
            <w:shd w:val="clear" w:color="auto" w:fill="EFF6FF"/>
          </w:tcPr>
          <w:p>
            <w:r>
              <w:rPr>
                <w:rFonts w:ascii="Calibri" w:hAnsi="Calibri"/>
                <w:b w:val="0"/>
                <w:i w:val="0"/>
                <w:sz w:val="19"/>
              </w:rPr>
              <w:t>Product Managers</w:t>
            </w:r>
          </w:p>
        </w:tc>
        <w:tc>
          <w:tcPr>
            <w:tcW w:type="dxa" w:w="1152"/>
            <w:shd w:val="clear" w:color="auto" w:fill="EFF6FF"/>
          </w:tcPr>
          <w:p>
            <w:r>
              <w:rPr>
                <w:rFonts w:ascii="Calibri" w:hAnsi="Calibri"/>
                <w:b w:val="0"/>
                <w:i w:val="0"/>
                <w:sz w:val="19"/>
              </w:rPr>
              <w:t>10–30</w:t>
            </w:r>
          </w:p>
        </w:tc>
        <w:tc>
          <w:tcPr>
            <w:tcW w:type="dxa" w:w="2160"/>
            <w:shd w:val="clear" w:color="auto" w:fill="EFF6FF"/>
          </w:tcPr>
          <w:p>
            <w:r>
              <w:rPr>
                <w:rFonts w:ascii="Calibri" w:hAnsi="Calibri"/>
                <w:b w:val="0"/>
                <w:i w:val="0"/>
                <w:sz w:val="19"/>
              </w:rPr>
              <w:t>Curious</w:t>
            </w:r>
          </w:p>
        </w:tc>
        <w:tc>
          <w:tcPr>
            <w:tcW w:type="dxa" w:w="1872"/>
            <w:shd w:val="clear" w:color="auto" w:fill="EFF6FF"/>
          </w:tcPr>
          <w:p>
            <w:r>
              <w:rPr>
                <w:rFonts w:ascii="Calibri" w:hAnsi="Calibri"/>
                <w:b w:val="0"/>
                <w:i w:val="0"/>
                <w:sz w:val="19"/>
              </w:rPr>
              <w:t>Supportive</w:t>
            </w:r>
          </w:p>
        </w:tc>
        <w:tc>
          <w:tcPr>
            <w:tcW w:type="dxa" w:w="2880"/>
            <w:shd w:val="clear" w:color="auto" w:fill="EFF6FF"/>
          </w:tcPr>
          <w:p>
            <w:r>
              <w:rPr>
                <w:rFonts w:ascii="Calibri" w:hAnsi="Calibri"/>
                <w:b w:val="0"/>
                <w:i w:val="0"/>
                <w:sz w:val="19"/>
              </w:rPr>
              <w:t>'More visibility into engineering delays'</w:t>
            </w:r>
          </w:p>
        </w:tc>
        <w:tc>
          <w:tcPr>
            <w:tcW w:type="dxa" w:w="3024"/>
            <w:shd w:val="clear" w:color="auto" w:fill="EFF6FF"/>
          </w:tcPr>
          <w:p>
            <w:r>
              <w:rPr>
                <w:rFonts w:ascii="Calibri" w:hAnsi="Calibri"/>
                <w:b w:val="0"/>
                <w:i w:val="0"/>
                <w:sz w:val="19"/>
              </w:rPr>
              <w:t>Show business case builder; give access to future state scenarios</w:t>
            </w:r>
          </w:p>
        </w:tc>
      </w:tr>
      <w:tr>
        <w:tc>
          <w:tcPr>
            <w:tcW w:type="dxa" w:w="2592"/>
          </w:tcPr>
          <w:p>
            <w:r>
              <w:rPr>
                <w:rFonts w:ascii="Calibri" w:hAnsi="Calibri"/>
                <w:b w:val="0"/>
                <w:i w:val="0"/>
                <w:sz w:val="19"/>
              </w:rPr>
              <w:t>CTO / VP Eng</w:t>
            </w:r>
          </w:p>
        </w:tc>
        <w:tc>
          <w:tcPr>
            <w:tcW w:type="dxa" w:w="1152"/>
          </w:tcPr>
          <w:p>
            <w:r>
              <w:rPr>
                <w:rFonts w:ascii="Calibri" w:hAnsi="Calibri"/>
                <w:b w:val="0"/>
                <w:i w:val="0"/>
                <w:sz w:val="19"/>
              </w:rPr>
              <w:t>1–3</w:t>
            </w:r>
          </w:p>
        </w:tc>
        <w:tc>
          <w:tcPr>
            <w:tcW w:type="dxa" w:w="2160"/>
          </w:tcPr>
          <w:p>
            <w:r>
              <w:rPr>
                <w:rFonts w:ascii="Calibri" w:hAnsi="Calibri"/>
                <w:b w:val="0"/>
                <w:i w:val="0"/>
                <w:sz w:val="19"/>
              </w:rPr>
              <w:t>Supportive</w:t>
            </w:r>
          </w:p>
        </w:tc>
        <w:tc>
          <w:tcPr>
            <w:tcW w:type="dxa" w:w="1872"/>
          </w:tcPr>
          <w:p>
            <w:r>
              <w:rPr>
                <w:rFonts w:ascii="Calibri" w:hAnsi="Calibri"/>
                <w:b w:val="0"/>
                <w:i w:val="0"/>
                <w:sz w:val="19"/>
              </w:rPr>
              <w:t>Sponsor</w:t>
            </w:r>
          </w:p>
        </w:tc>
        <w:tc>
          <w:tcPr>
            <w:tcW w:type="dxa" w:w="2880"/>
          </w:tcPr>
          <w:p>
            <w:r>
              <w:rPr>
                <w:rFonts w:ascii="Calibri" w:hAnsi="Calibri"/>
                <w:b w:val="0"/>
                <w:i w:val="0"/>
                <w:sz w:val="19"/>
              </w:rPr>
              <w:t>'Needs to show ROI to board'</w:t>
            </w:r>
          </w:p>
        </w:tc>
        <w:tc>
          <w:tcPr>
            <w:tcW w:type="dxa" w:w="3024"/>
          </w:tcPr>
          <w:p>
            <w:r>
              <w:rPr>
                <w:rFonts w:ascii="Calibri" w:hAnsi="Calibri"/>
                <w:b w:val="0"/>
                <w:i w:val="0"/>
                <w:sz w:val="19"/>
              </w:rPr>
              <w:t>Business case focus; board deck; personal briefing before ELT</w:t>
            </w:r>
          </w:p>
        </w:tc>
      </w:tr>
      <w:tr>
        <w:tc>
          <w:tcPr>
            <w:tcW w:type="dxa" w:w="2592"/>
            <w:shd w:val="clear" w:color="auto" w:fill="EFF6FF"/>
          </w:tcPr>
          <w:p>
            <w:r>
              <w:rPr>
                <w:rFonts w:ascii="Calibri" w:hAnsi="Calibri"/>
                <w:b w:val="0"/>
                <w:i w:val="0"/>
                <w:sz w:val="19"/>
              </w:rPr>
              <w:t>CFO</w:t>
            </w:r>
          </w:p>
        </w:tc>
        <w:tc>
          <w:tcPr>
            <w:tcW w:type="dxa" w:w="1152"/>
            <w:shd w:val="clear" w:color="auto" w:fill="EFF6FF"/>
          </w:tcPr>
          <w:p>
            <w:r>
              <w:rPr>
                <w:rFonts w:ascii="Calibri" w:hAnsi="Calibri"/>
                <w:b w:val="0"/>
                <w:i w:val="0"/>
                <w:sz w:val="19"/>
              </w:rPr>
              <w:t>1</w:t>
            </w:r>
          </w:p>
        </w:tc>
        <w:tc>
          <w:tcPr>
            <w:tcW w:type="dxa" w:w="2160"/>
            <w:shd w:val="clear" w:color="auto" w:fill="EFF6FF"/>
          </w:tcPr>
          <w:p>
            <w:r>
              <w:rPr>
                <w:rFonts w:ascii="Calibri" w:hAnsi="Calibri"/>
                <w:b w:val="0"/>
                <w:i w:val="0"/>
                <w:sz w:val="19"/>
              </w:rPr>
              <w:t>Skeptical</w:t>
            </w:r>
          </w:p>
        </w:tc>
        <w:tc>
          <w:tcPr>
            <w:tcW w:type="dxa" w:w="1872"/>
            <w:shd w:val="clear" w:color="auto" w:fill="EFF6FF"/>
          </w:tcPr>
          <w:p>
            <w:r>
              <w:rPr>
                <w:rFonts w:ascii="Calibri" w:hAnsi="Calibri"/>
                <w:b w:val="0"/>
                <w:i w:val="0"/>
                <w:sz w:val="19"/>
              </w:rPr>
              <w:t>Approver</w:t>
            </w:r>
          </w:p>
        </w:tc>
        <w:tc>
          <w:tcPr>
            <w:tcW w:type="dxa" w:w="2880"/>
            <w:shd w:val="clear" w:color="auto" w:fill="EFF6FF"/>
          </w:tcPr>
          <w:p>
            <w:r>
              <w:rPr>
                <w:rFonts w:ascii="Calibri" w:hAnsi="Calibri"/>
                <w:b w:val="0"/>
                <w:i w:val="0"/>
                <w:sz w:val="19"/>
              </w:rPr>
              <w:t>'Are the savings real and auditable?'</w:t>
            </w:r>
          </w:p>
        </w:tc>
        <w:tc>
          <w:tcPr>
            <w:tcW w:type="dxa" w:w="3024"/>
            <w:shd w:val="clear" w:color="auto" w:fill="EFF6FF"/>
          </w:tcPr>
          <w:p>
            <w:r>
              <w:rPr>
                <w:rFonts w:ascii="Calibri" w:hAnsi="Calibri"/>
                <w:b w:val="0"/>
                <w:i w:val="0"/>
                <w:sz w:val="19"/>
              </w:rPr>
              <w:t>Evidence protocol; conservative scenario; reference call</w:t>
            </w:r>
          </w:p>
        </w:tc>
      </w:tr>
      <w:tr>
        <w:tc>
          <w:tcPr>
            <w:tcW w:type="dxa" w:w="2592"/>
          </w:tcPr>
          <w:p>
            <w:r>
              <w:rPr>
                <w:rFonts w:ascii="Calibri" w:hAnsi="Calibri"/>
                <w:b w:val="0"/>
                <w:i w:val="0"/>
                <w:sz w:val="19"/>
              </w:rPr>
              <w:t>Delivery / PMO</w:t>
            </w:r>
          </w:p>
        </w:tc>
        <w:tc>
          <w:tcPr>
            <w:tcW w:type="dxa" w:w="1152"/>
          </w:tcPr>
          <w:p>
            <w:r>
              <w:rPr>
                <w:rFonts w:ascii="Calibri" w:hAnsi="Calibri"/>
                <w:b w:val="0"/>
                <w:i w:val="0"/>
                <w:sz w:val="19"/>
              </w:rPr>
              <w:t>3–10</w:t>
            </w:r>
          </w:p>
        </w:tc>
        <w:tc>
          <w:tcPr>
            <w:tcW w:type="dxa" w:w="2160"/>
          </w:tcPr>
          <w:p>
            <w:r>
              <w:rPr>
                <w:rFonts w:ascii="Calibri" w:hAnsi="Calibri"/>
                <w:b w:val="0"/>
                <w:i w:val="0"/>
                <w:sz w:val="19"/>
              </w:rPr>
              <w:t>Curious</w:t>
            </w:r>
          </w:p>
        </w:tc>
        <w:tc>
          <w:tcPr>
            <w:tcW w:type="dxa" w:w="1872"/>
          </w:tcPr>
          <w:p>
            <w:r>
              <w:rPr>
                <w:rFonts w:ascii="Calibri" w:hAnsi="Calibri"/>
                <w:b w:val="0"/>
                <w:i w:val="0"/>
                <w:sz w:val="19"/>
              </w:rPr>
              <w:t>Champion</w:t>
            </w:r>
          </w:p>
        </w:tc>
        <w:tc>
          <w:tcPr>
            <w:tcW w:type="dxa" w:w="2880"/>
          </w:tcPr>
          <w:p>
            <w:r>
              <w:rPr>
                <w:rFonts w:ascii="Calibri" w:hAnsi="Calibri"/>
                <w:b w:val="0"/>
                <w:i w:val="0"/>
                <w:sz w:val="19"/>
              </w:rPr>
              <w:t>'How does this fit our existing PMO tools?'</w:t>
            </w:r>
          </w:p>
        </w:tc>
        <w:tc>
          <w:tcPr>
            <w:tcW w:type="dxa" w:w="3024"/>
          </w:tcPr>
          <w:p>
            <w:r>
              <w:rPr>
                <w:rFonts w:ascii="Calibri" w:hAnsi="Calibri"/>
                <w:b w:val="0"/>
                <w:i w:val="0"/>
                <w:sz w:val="19"/>
              </w:rPr>
              <w:t>Show action plan integration; governance model alignment</w:t>
            </w:r>
          </w:p>
        </w:tc>
      </w:tr>
    </w:tbl>
    <w:p/>
    <w:p>
      <w:pPr>
        <w:spacing w:before="280" w:after="80"/>
      </w:pPr>
      <w:r>
        <w:rPr>
          <w:rFonts w:ascii="Calibri" w:hAnsi="Calibri"/>
          <w:b/>
          <w:i w:val="0"/>
          <w:color w:val="0F2D5E"/>
          <w:sz w:val="32"/>
        </w:rPr>
        <w:t>Resistance Management</w:t>
      </w:r>
    </w:p>
    <w:p>
      <w:pPr>
        <w:spacing w:before="200" w:after="60"/>
      </w:pPr>
      <w:r>
        <w:rPr>
          <w:rFonts w:ascii="Calibri" w:hAnsi="Calibri"/>
          <w:b/>
          <w:i w:val="0"/>
          <w:color w:val="2563EB"/>
          <w:sz w:val="26"/>
        </w:rPr>
        <w:t>Common Resistance Patterns and Responses</w:t>
      </w:r>
    </w:p>
    <w:p>
      <w:pPr>
        <w:spacing w:before="160" w:after="40"/>
      </w:pPr>
      <w:r>
        <w:rPr>
          <w:rFonts w:ascii="Calibri" w:hAnsi="Calibri"/>
          <w:b/>
          <w:i w:val="0"/>
          <w:color w:val="0F2D5E"/>
          <w:sz w:val="22"/>
        </w:rPr>
        <w:t>Resistance: 'This is just another dashboard that will be ignored in 6 months'</w:t>
      </w:r>
    </w:p>
    <w:p>
      <w:pPr>
        <w:spacing w:after="80"/>
      </w:pPr>
      <w:r>
        <w:rPr>
          <w:rFonts w:ascii="Calibri" w:hAnsi="Calibri"/>
          <w:b w:val="0"/>
          <w:i w:val="0"/>
          <w:sz w:val="21"/>
        </w:rPr>
        <w:t>Response: Show action plan tracker with owner accountability. Invite the skeptic to be a named action plan owner — skin in the game changes behaviour.</w:t>
      </w:r>
    </w:p>
    <w:p>
      <w:pPr>
        <w:spacing w:before="160" w:after="40"/>
      </w:pPr>
      <w:r>
        <w:rPr>
          <w:rFonts w:ascii="Calibri" w:hAnsi="Calibri"/>
          <w:b/>
          <w:i w:val="0"/>
          <w:color w:val="0F2D5E"/>
          <w:sz w:val="22"/>
        </w:rPr>
        <w:t>Resistance: 'The AI doesn't understand our unique context'</w:t>
      </w:r>
    </w:p>
    <w:p>
      <w:pPr>
        <w:spacing w:after="80"/>
      </w:pPr>
      <w:r>
        <w:rPr>
          <w:rFonts w:ascii="Calibri" w:hAnsi="Calibri"/>
          <w:b w:val="0"/>
          <w:i w:val="0"/>
          <w:sz w:val="21"/>
        </w:rPr>
        <w:t>Response: Demonstrate manual override capability. Show that every AI score can be adjusted and the context notes field. The AI is a starting point, not a judgement.</w:t>
      </w:r>
    </w:p>
    <w:p>
      <w:pPr>
        <w:spacing w:before="160" w:after="40"/>
      </w:pPr>
      <w:r>
        <w:rPr>
          <w:rFonts w:ascii="Calibri" w:hAnsi="Calibri"/>
          <w:b/>
          <w:i w:val="0"/>
          <w:color w:val="0F2D5E"/>
          <w:sz w:val="22"/>
        </w:rPr>
        <w:t>Resistance: 'Our Jira data is too messy for this'</w:t>
      </w:r>
    </w:p>
    <w:p>
      <w:pPr>
        <w:spacing w:after="80"/>
      </w:pPr>
      <w:r>
        <w:rPr>
          <w:rFonts w:ascii="Calibri" w:hAnsi="Calibri"/>
          <w:b w:val="0"/>
          <w:i w:val="0"/>
          <w:sz w:val="21"/>
        </w:rPr>
        <w:t>Response: Show data quality scorecard. Run a 100-ticket sample analysis in the kick-off meeting. Messy data is universal — the heuristic LT fills gaps.</w:t>
      </w:r>
    </w:p>
    <w:p>
      <w:pPr>
        <w:spacing w:before="160" w:after="40"/>
      </w:pPr>
      <w:r>
        <w:rPr>
          <w:rFonts w:ascii="Calibri" w:hAnsi="Calibri"/>
          <w:b/>
          <w:i w:val="0"/>
          <w:color w:val="0F2D5E"/>
          <w:sz w:val="22"/>
        </w:rPr>
        <w:t>Resistance: 'We already know what the bottlenecks are — we don't need AI to tell us'</w:t>
      </w:r>
    </w:p>
    <w:p>
      <w:pPr>
        <w:spacing w:after="80"/>
      </w:pPr>
      <w:r>
        <w:rPr>
          <w:rFonts w:ascii="Calibri" w:hAnsi="Calibri"/>
          <w:b w:val="0"/>
          <w:i w:val="0"/>
          <w:sz w:val="21"/>
        </w:rPr>
        <w:t>Response: Agree! Then say: 'Great — let's see if the data agrees with you. And then let's put a dollar figure on each one so we can prioritise.' The financial quantification is always new.</w:t>
      </w:r>
    </w:p>
    <w:p>
      <w:pPr>
        <w:spacing w:before="160" w:after="40"/>
      </w:pPr>
      <w:r>
        <w:rPr>
          <w:rFonts w:ascii="Calibri" w:hAnsi="Calibri"/>
          <w:b/>
          <w:i w:val="0"/>
          <w:color w:val="0F2D5E"/>
          <w:sz w:val="22"/>
        </w:rPr>
        <w:t>Resistance: 'What about GDPR / data privacy?'</w:t>
      </w:r>
    </w:p>
    <w:p>
      <w:pPr>
        <w:spacing w:after="80"/>
      </w:pPr>
      <w:r>
        <w:rPr>
          <w:rFonts w:ascii="Calibri" w:hAnsi="Calibri"/>
          <w:b w:val="0"/>
          <w:i w:val="0"/>
          <w:sz w:val="21"/>
        </w:rPr>
        <w:t>Response: On-prem deployment option. Ticket anonymisation (names replaced with role codes before analysis). Data stays inside the corporate network. No data sent to third parties (AI runs locally or via private API).</w:t>
      </w:r>
    </w:p>
    <w:p>
      <w:pPr>
        <w:spacing w:before="280" w:after="80"/>
      </w:pPr>
      <w:r>
        <w:rPr>
          <w:rFonts w:ascii="Calibri" w:hAnsi="Calibri"/>
          <w:b/>
          <w:i w:val="0"/>
          <w:color w:val="0F2D5E"/>
          <w:sz w:val="32"/>
        </w:rPr>
        <w:t>Capability Building Plan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880"/>
            <w:shd w:val="clear" w:color="auto" w:fill="0F2D5E"/>
          </w:tcPr>
          <w:p>
            <w:pPr>
              <w:jc w:val="center"/>
            </w:pPr>
            <w:r>
              <w:rPr>
                <w:rFonts w:ascii="Calibri" w:hAnsi="Calibri"/>
                <w:b/>
                <w:i w:val="0"/>
                <w:color w:val="FFFFFF"/>
                <w:sz w:val="19"/>
              </w:rPr>
              <w:t>Audience</w:t>
            </w:r>
          </w:p>
        </w:tc>
        <w:tc>
          <w:tcPr>
            <w:tcW w:type="dxa" w:w="3600"/>
            <w:shd w:val="clear" w:color="auto" w:fill="0F2D5E"/>
          </w:tcPr>
          <w:p>
            <w:pPr>
              <w:jc w:val="center"/>
            </w:pPr>
            <w:r>
              <w:rPr>
                <w:rFonts w:ascii="Calibri" w:hAnsi="Calibri"/>
                <w:b/>
                <w:i w:val="0"/>
                <w:color w:val="FFFFFF"/>
                <w:sz w:val="19"/>
              </w:rPr>
              <w:t>Training Module</w:t>
            </w:r>
          </w:p>
        </w:tc>
        <w:tc>
          <w:tcPr>
            <w:tcW w:type="dxa" w:w="1728"/>
            <w:shd w:val="clear" w:color="auto" w:fill="0F2D5E"/>
          </w:tcPr>
          <w:p>
            <w:pPr>
              <w:jc w:val="center"/>
            </w:pPr>
            <w:r>
              <w:rPr>
                <w:rFonts w:ascii="Calibri" w:hAnsi="Calibri"/>
                <w:b/>
                <w:i w:val="0"/>
                <w:color w:val="FFFFFF"/>
                <w:sz w:val="19"/>
              </w:rPr>
              <w:t>Duration</w:t>
            </w:r>
          </w:p>
        </w:tc>
        <w:tc>
          <w:tcPr>
            <w:tcW w:type="dxa" w:w="2880"/>
            <w:shd w:val="clear" w:color="auto" w:fill="0F2D5E"/>
          </w:tcPr>
          <w:p>
            <w:pPr>
              <w:jc w:val="center"/>
            </w:pPr>
            <w:r>
              <w:rPr>
                <w:rFonts w:ascii="Calibri" w:hAnsi="Calibri"/>
                <w:b/>
                <w:i w:val="0"/>
                <w:color w:val="FFFFFF"/>
                <w:sz w:val="19"/>
              </w:rPr>
              <w:t>Format</w:t>
            </w:r>
          </w:p>
        </w:tc>
        <w:tc>
          <w:tcPr>
            <w:tcW w:type="dxa" w:w="2880"/>
            <w:shd w:val="clear" w:color="auto" w:fill="0F2D5E"/>
          </w:tcPr>
          <w:p>
            <w:pPr>
              <w:jc w:val="center"/>
            </w:pPr>
            <w:r>
              <w:rPr>
                <w:rFonts w:ascii="Calibri" w:hAnsi="Calibri"/>
                <w:b/>
                <w:i w:val="0"/>
                <w:color w:val="FFFFFF"/>
                <w:sz w:val="19"/>
              </w:rPr>
              <w:t>Certification</w:t>
            </w:r>
          </w:p>
        </w:tc>
      </w:tr>
      <w:tr>
        <w:tc>
          <w:tcPr>
            <w:tcW w:type="dxa" w:w="2880"/>
            <w:shd w:val="clear" w:color="auto" w:fill="EFF6FF"/>
          </w:tcPr>
          <w:p>
            <w:r>
              <w:rPr>
                <w:rFonts w:ascii="Calibri" w:hAnsi="Calibri"/>
                <w:b w:val="0"/>
                <w:i w:val="0"/>
                <w:sz w:val="19"/>
              </w:rPr>
              <w:t>Platform Administrators</w:t>
            </w:r>
          </w:p>
        </w:tc>
        <w:tc>
          <w:tcPr>
            <w:tcW w:type="dxa" w:w="3600"/>
            <w:shd w:val="clear" w:color="auto" w:fill="EFF6FF"/>
          </w:tcPr>
          <w:p>
            <w:r>
              <w:rPr>
                <w:rFonts w:ascii="Calibri" w:hAnsi="Calibri"/>
                <w:b w:val="0"/>
                <w:i w:val="0"/>
                <w:sz w:val="19"/>
              </w:rPr>
              <w:t>Full platform setup and operation</w:t>
            </w:r>
          </w:p>
        </w:tc>
        <w:tc>
          <w:tcPr>
            <w:tcW w:type="dxa" w:w="1728"/>
            <w:shd w:val="clear" w:color="auto" w:fill="EFF6FF"/>
          </w:tcPr>
          <w:p>
            <w:r>
              <w:rPr>
                <w:rFonts w:ascii="Calibri" w:hAnsi="Calibri"/>
                <w:b w:val="0"/>
                <w:i w:val="0"/>
                <w:sz w:val="19"/>
              </w:rPr>
              <w:t>8 hours</w:t>
            </w:r>
          </w:p>
        </w:tc>
        <w:tc>
          <w:tcPr>
            <w:tcW w:type="dxa" w:w="2880"/>
            <w:shd w:val="clear" w:color="auto" w:fill="EFF6FF"/>
          </w:tcPr>
          <w:p>
            <w:r>
              <w:rPr>
                <w:rFonts w:ascii="Calibri" w:hAnsi="Calibri"/>
                <w:b w:val="0"/>
                <w:i w:val="0"/>
                <w:sz w:val="19"/>
              </w:rPr>
              <w:t>Instructor-led + lab</w:t>
            </w:r>
          </w:p>
        </w:tc>
        <w:tc>
          <w:tcPr>
            <w:tcW w:type="dxa" w:w="2880"/>
            <w:shd w:val="clear" w:color="auto" w:fill="EFF6FF"/>
          </w:tcPr>
          <w:p>
            <w:r>
              <w:rPr>
                <w:rFonts w:ascii="Calibri" w:hAnsi="Calibri"/>
                <w:b w:val="0"/>
                <w:i w:val="0"/>
                <w:sz w:val="19"/>
              </w:rPr>
              <w:t>Platform Admin Cert</w:t>
            </w:r>
          </w:p>
        </w:tc>
      </w:tr>
      <w:tr>
        <w:tc>
          <w:tcPr>
            <w:tcW w:type="dxa" w:w="2880"/>
          </w:tcPr>
          <w:p>
            <w:r>
              <w:rPr>
                <w:rFonts w:ascii="Calibri" w:hAnsi="Calibri"/>
                <w:b w:val="0"/>
                <w:i w:val="0"/>
                <w:sz w:val="19"/>
              </w:rPr>
              <w:t>Engineering Leads</w:t>
            </w:r>
          </w:p>
        </w:tc>
        <w:tc>
          <w:tcPr>
            <w:tcW w:type="dxa" w:w="3600"/>
          </w:tcPr>
          <w:p>
            <w:r>
              <w:rPr>
                <w:rFonts w:ascii="Calibri" w:hAnsi="Calibri"/>
                <w:b w:val="0"/>
                <w:i w:val="0"/>
                <w:sz w:val="19"/>
              </w:rPr>
              <w:t>VSM interpretation + action planning</w:t>
            </w:r>
          </w:p>
        </w:tc>
        <w:tc>
          <w:tcPr>
            <w:tcW w:type="dxa" w:w="1728"/>
          </w:tcPr>
          <w:p>
            <w:r>
              <w:rPr>
                <w:rFonts w:ascii="Calibri" w:hAnsi="Calibri"/>
                <w:b w:val="0"/>
                <w:i w:val="0"/>
                <w:sz w:val="19"/>
              </w:rPr>
              <w:t>4 hours</w:t>
            </w:r>
          </w:p>
        </w:tc>
        <w:tc>
          <w:tcPr>
            <w:tcW w:type="dxa" w:w="2880"/>
          </w:tcPr>
          <w:p>
            <w:r>
              <w:rPr>
                <w:rFonts w:ascii="Calibri" w:hAnsi="Calibri"/>
                <w:b w:val="0"/>
                <w:i w:val="0"/>
                <w:sz w:val="19"/>
              </w:rPr>
              <w:t>Workshop</w:t>
            </w:r>
          </w:p>
        </w:tc>
        <w:tc>
          <w:tcPr>
            <w:tcW w:type="dxa" w:w="2880"/>
          </w:tcPr>
          <w:p>
            <w:r>
              <w:rPr>
                <w:rFonts w:ascii="Calibri" w:hAnsi="Calibri"/>
                <w:b w:val="0"/>
                <w:i w:val="0"/>
                <w:sz w:val="19"/>
              </w:rPr>
              <w:t>VSM Practitioner</w:t>
            </w:r>
          </w:p>
        </w:tc>
      </w:tr>
      <w:tr>
        <w:tc>
          <w:tcPr>
            <w:tcW w:type="dxa" w:w="2880"/>
            <w:shd w:val="clear" w:color="auto" w:fill="EFF6FF"/>
          </w:tcPr>
          <w:p>
            <w:r>
              <w:rPr>
                <w:rFonts w:ascii="Calibri" w:hAnsi="Calibri"/>
                <w:b w:val="0"/>
                <w:i w:val="0"/>
                <w:sz w:val="19"/>
              </w:rPr>
              <w:t>Insight Analysts</w:t>
            </w:r>
          </w:p>
        </w:tc>
        <w:tc>
          <w:tcPr>
            <w:tcW w:type="dxa" w:w="3600"/>
            <w:shd w:val="clear" w:color="auto" w:fill="EFF6FF"/>
          </w:tcPr>
          <w:p>
            <w:r>
              <w:rPr>
                <w:rFonts w:ascii="Calibri" w:hAnsi="Calibri"/>
                <w:b w:val="0"/>
                <w:i w:val="0"/>
                <w:sz w:val="19"/>
              </w:rPr>
              <w:t>AI output validation + reporting</w:t>
            </w:r>
          </w:p>
        </w:tc>
        <w:tc>
          <w:tcPr>
            <w:tcW w:type="dxa" w:w="1728"/>
            <w:shd w:val="clear" w:color="auto" w:fill="EFF6FF"/>
          </w:tcPr>
          <w:p>
            <w:r>
              <w:rPr>
                <w:rFonts w:ascii="Calibri" w:hAnsi="Calibri"/>
                <w:b w:val="0"/>
                <w:i w:val="0"/>
                <w:sz w:val="19"/>
              </w:rPr>
              <w:t>4 hours</w:t>
            </w:r>
          </w:p>
        </w:tc>
        <w:tc>
          <w:tcPr>
            <w:tcW w:type="dxa" w:w="2880"/>
            <w:shd w:val="clear" w:color="auto" w:fill="EFF6FF"/>
          </w:tcPr>
          <w:p>
            <w:r>
              <w:rPr>
                <w:rFonts w:ascii="Calibri" w:hAnsi="Calibri"/>
                <w:b w:val="0"/>
                <w:i w:val="0"/>
                <w:sz w:val="19"/>
              </w:rPr>
              <w:t>Workshop</w:t>
            </w:r>
          </w:p>
        </w:tc>
        <w:tc>
          <w:tcPr>
            <w:tcW w:type="dxa" w:w="2880"/>
            <w:shd w:val="clear" w:color="auto" w:fill="EFF6FF"/>
          </w:tcPr>
          <w:p>
            <w:r>
              <w:rPr>
                <w:rFonts w:ascii="Calibri" w:hAnsi="Calibri"/>
                <w:b w:val="0"/>
                <w:i w:val="0"/>
                <w:sz w:val="19"/>
              </w:rPr>
              <w:t>Insight Analyst Cert</w:t>
            </w:r>
          </w:p>
        </w:tc>
      </w:tr>
      <w:tr>
        <w:tc>
          <w:tcPr>
            <w:tcW w:type="dxa" w:w="2880"/>
          </w:tcPr>
          <w:p>
            <w:r>
              <w:rPr>
                <w:rFonts w:ascii="Calibri" w:hAnsi="Calibri"/>
                <w:b w:val="0"/>
                <w:i w:val="0"/>
                <w:sz w:val="19"/>
              </w:rPr>
              <w:t>Executive Sponsors</w:t>
            </w:r>
          </w:p>
        </w:tc>
        <w:tc>
          <w:tcPr>
            <w:tcW w:type="dxa" w:w="3600"/>
          </w:tcPr>
          <w:p>
            <w:r>
              <w:rPr>
                <w:rFonts w:ascii="Calibri" w:hAnsi="Calibri"/>
                <w:b w:val="0"/>
                <w:i w:val="0"/>
                <w:sz w:val="19"/>
              </w:rPr>
              <w:t>Business case interpretation + board briefing</w:t>
            </w:r>
          </w:p>
        </w:tc>
        <w:tc>
          <w:tcPr>
            <w:tcW w:type="dxa" w:w="1728"/>
          </w:tcPr>
          <w:p>
            <w:r>
              <w:rPr>
                <w:rFonts w:ascii="Calibri" w:hAnsi="Calibri"/>
                <w:b w:val="0"/>
                <w:i w:val="0"/>
                <w:sz w:val="19"/>
              </w:rPr>
              <w:t>1 hour</w:t>
            </w:r>
          </w:p>
        </w:tc>
        <w:tc>
          <w:tcPr>
            <w:tcW w:type="dxa" w:w="2880"/>
          </w:tcPr>
          <w:p>
            <w:r>
              <w:rPr>
                <w:rFonts w:ascii="Calibri" w:hAnsi="Calibri"/>
                <w:b w:val="0"/>
                <w:i w:val="0"/>
                <w:sz w:val="19"/>
              </w:rPr>
              <w:t>Briefing session</w:t>
            </w:r>
          </w:p>
        </w:tc>
        <w:tc>
          <w:tcPr>
            <w:tcW w:type="dxa" w:w="2880"/>
          </w:tcPr>
          <w:p>
            <w:r>
              <w:rPr>
                <w:rFonts w:ascii="Calibri" w:hAnsi="Calibri"/>
                <w:b w:val="0"/>
                <w:i w:val="0"/>
                <w:sz w:val="19"/>
              </w:rPr>
              <w:t>None</w:t>
            </w:r>
          </w:p>
        </w:tc>
      </w:tr>
      <w:tr>
        <w:tc>
          <w:tcPr>
            <w:tcW w:type="dxa" w:w="2880"/>
            <w:shd w:val="clear" w:color="auto" w:fill="EFF6FF"/>
          </w:tcPr>
          <w:p>
            <w:r>
              <w:rPr>
                <w:rFonts w:ascii="Calibri" w:hAnsi="Calibri"/>
                <w:b w:val="0"/>
                <w:i w:val="0"/>
                <w:sz w:val="19"/>
              </w:rPr>
              <w:t>All Platform Users</w:t>
            </w:r>
          </w:p>
        </w:tc>
        <w:tc>
          <w:tcPr>
            <w:tcW w:type="dxa" w:w="3600"/>
            <w:shd w:val="clear" w:color="auto" w:fill="EFF6FF"/>
          </w:tcPr>
          <w:p>
            <w:r>
              <w:rPr>
                <w:rFonts w:ascii="Calibri" w:hAnsi="Calibri"/>
                <w:b w:val="0"/>
                <w:i w:val="0"/>
                <w:sz w:val="19"/>
              </w:rPr>
              <w:t>Platform navigation (self-paced)</w:t>
            </w:r>
          </w:p>
        </w:tc>
        <w:tc>
          <w:tcPr>
            <w:tcW w:type="dxa" w:w="1728"/>
            <w:shd w:val="clear" w:color="auto" w:fill="EFF6FF"/>
          </w:tcPr>
          <w:p>
            <w:r>
              <w:rPr>
                <w:rFonts w:ascii="Calibri" w:hAnsi="Calibri"/>
                <w:b w:val="0"/>
                <w:i w:val="0"/>
                <w:sz w:val="19"/>
              </w:rPr>
              <w:t>1 hour</w:t>
            </w:r>
          </w:p>
        </w:tc>
        <w:tc>
          <w:tcPr>
            <w:tcW w:type="dxa" w:w="2880"/>
            <w:shd w:val="clear" w:color="auto" w:fill="EFF6FF"/>
          </w:tcPr>
          <w:p>
            <w:r>
              <w:rPr>
                <w:rFonts w:ascii="Calibri" w:hAnsi="Calibri"/>
                <w:b w:val="0"/>
                <w:i w:val="0"/>
                <w:sz w:val="19"/>
              </w:rPr>
              <w:t>eLearning (LMS)</w:t>
            </w:r>
          </w:p>
        </w:tc>
        <w:tc>
          <w:tcPr>
            <w:tcW w:type="dxa" w:w="2880"/>
            <w:shd w:val="clear" w:color="auto" w:fill="EFF6FF"/>
          </w:tcPr>
          <w:p>
            <w:r>
              <w:rPr>
                <w:rFonts w:ascii="Calibri" w:hAnsi="Calibri"/>
                <w:b w:val="0"/>
                <w:i w:val="0"/>
                <w:sz w:val="19"/>
              </w:rPr>
              <w:t>None</w:t>
            </w:r>
          </w:p>
        </w:tc>
      </w:tr>
    </w:tbl>
    <w:p/>
    <w:p>
      <w:pPr>
        <w:spacing w:before="280" w:after="80"/>
      </w:pPr>
      <w:r>
        <w:rPr>
          <w:rFonts w:ascii="Calibri" w:hAnsi="Calibri"/>
          <w:b/>
          <w:i w:val="0"/>
          <w:color w:val="0F2D5E"/>
          <w:sz w:val="32"/>
        </w:rPr>
        <w:t>30/60/90 Day Adoption Plan</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0F2D5E"/>
          </w:tcPr>
          <w:p>
            <w:pPr>
              <w:jc w:val="center"/>
            </w:pPr>
            <w:r>
              <w:rPr>
                <w:rFonts w:ascii="Calibri" w:hAnsi="Calibri"/>
                <w:b/>
                <w:i w:val="0"/>
                <w:color w:val="FFFFFF"/>
                <w:sz w:val="19"/>
              </w:rPr>
              <w:t>Day</w:t>
            </w:r>
          </w:p>
        </w:tc>
        <w:tc>
          <w:tcPr>
            <w:tcW w:type="dxa" w:w="5472"/>
            <w:shd w:val="clear" w:color="auto" w:fill="0F2D5E"/>
          </w:tcPr>
          <w:p>
            <w:pPr>
              <w:jc w:val="center"/>
            </w:pPr>
            <w:r>
              <w:rPr>
                <w:rFonts w:ascii="Calibri" w:hAnsi="Calibri"/>
                <w:b/>
                <w:i w:val="0"/>
                <w:color w:val="FFFFFF"/>
                <w:sz w:val="19"/>
              </w:rPr>
              <w:t>Milestone</w:t>
            </w:r>
          </w:p>
        </w:tc>
        <w:tc>
          <w:tcPr>
            <w:tcW w:type="dxa" w:w="5040"/>
            <w:shd w:val="clear" w:color="auto" w:fill="0F2D5E"/>
          </w:tcPr>
          <w:p>
            <w:pPr>
              <w:jc w:val="center"/>
            </w:pPr>
            <w:r>
              <w:rPr>
                <w:rFonts w:ascii="Calibri" w:hAnsi="Calibri"/>
                <w:b/>
                <w:i w:val="0"/>
                <w:color w:val="FFFFFF"/>
                <w:sz w:val="19"/>
              </w:rPr>
              <w:t>Success Indicator</w:t>
            </w:r>
          </w:p>
        </w:tc>
      </w:tr>
      <w:tr>
        <w:tc>
          <w:tcPr>
            <w:tcW w:type="dxa" w:w="1728"/>
            <w:shd w:val="clear" w:color="auto" w:fill="EFF6FF"/>
          </w:tcPr>
          <w:p>
            <w:r>
              <w:rPr>
                <w:rFonts w:ascii="Calibri" w:hAnsi="Calibri"/>
                <w:b w:val="0"/>
                <w:i w:val="0"/>
                <w:sz w:val="19"/>
              </w:rPr>
              <w:t>Day 1–7</w:t>
            </w:r>
          </w:p>
        </w:tc>
        <w:tc>
          <w:tcPr>
            <w:tcW w:type="dxa" w:w="5472"/>
            <w:shd w:val="clear" w:color="auto" w:fill="EFF6FF"/>
          </w:tcPr>
          <w:p>
            <w:r>
              <w:rPr>
                <w:rFonts w:ascii="Calibri" w:hAnsi="Calibri"/>
                <w:b w:val="0"/>
                <w:i w:val="0"/>
                <w:sz w:val="19"/>
              </w:rPr>
              <w:t>Platform live, first team onboarded</w:t>
            </w:r>
          </w:p>
        </w:tc>
        <w:tc>
          <w:tcPr>
            <w:tcW w:type="dxa" w:w="5040"/>
            <w:shd w:val="clear" w:color="auto" w:fill="EFF6FF"/>
          </w:tcPr>
          <w:p>
            <w:r>
              <w:rPr>
                <w:rFonts w:ascii="Calibri" w:hAnsi="Calibri"/>
                <w:b w:val="0"/>
                <w:i w:val="0"/>
                <w:sz w:val="19"/>
              </w:rPr>
              <w:t>VSM dashboard visible to team lead</w:t>
            </w:r>
          </w:p>
        </w:tc>
      </w:tr>
      <w:tr>
        <w:tc>
          <w:tcPr>
            <w:tcW w:type="dxa" w:w="1728"/>
          </w:tcPr>
          <w:p>
            <w:r>
              <w:rPr>
                <w:rFonts w:ascii="Calibri" w:hAnsi="Calibri"/>
                <w:b w:val="0"/>
                <w:i w:val="0"/>
                <w:sz w:val="19"/>
              </w:rPr>
              <w:t>Day 7–14</w:t>
            </w:r>
          </w:p>
        </w:tc>
        <w:tc>
          <w:tcPr>
            <w:tcW w:type="dxa" w:w="5472"/>
          </w:tcPr>
          <w:p>
            <w:r>
              <w:rPr>
                <w:rFonts w:ascii="Calibri" w:hAnsi="Calibri"/>
                <w:b w:val="0"/>
                <w:i w:val="0"/>
                <w:sz w:val="19"/>
              </w:rPr>
              <w:t>First AI run completed and validated</w:t>
            </w:r>
          </w:p>
        </w:tc>
        <w:tc>
          <w:tcPr>
            <w:tcW w:type="dxa" w:w="5040"/>
          </w:tcPr>
          <w:p>
            <w:r>
              <w:rPr>
                <w:rFonts w:ascii="Calibri" w:hAnsi="Calibri"/>
                <w:b w:val="0"/>
                <w:i w:val="0"/>
                <w:sz w:val="19"/>
              </w:rPr>
              <w:t>Bottleneck list reviewed by Eng SME</w:t>
            </w:r>
          </w:p>
        </w:tc>
      </w:tr>
      <w:tr>
        <w:tc>
          <w:tcPr>
            <w:tcW w:type="dxa" w:w="1728"/>
            <w:shd w:val="clear" w:color="auto" w:fill="EFF6FF"/>
          </w:tcPr>
          <w:p>
            <w:r>
              <w:rPr>
                <w:rFonts w:ascii="Calibri" w:hAnsi="Calibri"/>
                <w:b w:val="0"/>
                <w:i w:val="0"/>
                <w:sz w:val="19"/>
              </w:rPr>
              <w:t>Day 14–30</w:t>
            </w:r>
          </w:p>
        </w:tc>
        <w:tc>
          <w:tcPr>
            <w:tcW w:type="dxa" w:w="5472"/>
            <w:shd w:val="clear" w:color="auto" w:fill="EFF6FF"/>
          </w:tcPr>
          <w:p>
            <w:r>
              <w:rPr>
                <w:rFonts w:ascii="Calibri" w:hAnsi="Calibri"/>
                <w:b w:val="0"/>
                <w:i w:val="0"/>
                <w:sz w:val="19"/>
              </w:rPr>
              <w:t>All Day-30 quick wins identified and assigned</w:t>
            </w:r>
          </w:p>
        </w:tc>
        <w:tc>
          <w:tcPr>
            <w:tcW w:type="dxa" w:w="5040"/>
            <w:shd w:val="clear" w:color="auto" w:fill="EFF6FF"/>
          </w:tcPr>
          <w:p>
            <w:r>
              <w:rPr>
                <w:rFonts w:ascii="Calibri" w:hAnsi="Calibri"/>
                <w:b w:val="0"/>
                <w:i w:val="0"/>
                <w:sz w:val="19"/>
              </w:rPr>
              <w:t>≥3 action plan items with named owners</w:t>
            </w:r>
          </w:p>
        </w:tc>
      </w:tr>
      <w:tr>
        <w:tc>
          <w:tcPr>
            <w:tcW w:type="dxa" w:w="1728"/>
          </w:tcPr>
          <w:p>
            <w:r>
              <w:rPr>
                <w:rFonts w:ascii="Calibri" w:hAnsi="Calibri"/>
                <w:b w:val="0"/>
                <w:i w:val="0"/>
                <w:sz w:val="19"/>
              </w:rPr>
              <w:t>Day 30</w:t>
            </w:r>
          </w:p>
        </w:tc>
        <w:tc>
          <w:tcPr>
            <w:tcW w:type="dxa" w:w="5472"/>
          </w:tcPr>
          <w:p>
            <w:r>
              <w:rPr>
                <w:rFonts w:ascii="Calibri" w:hAnsi="Calibri"/>
                <w:b w:val="0"/>
                <w:i w:val="0"/>
                <w:sz w:val="19"/>
              </w:rPr>
              <w:t>First 30-day check-in: LT delta measured</w:t>
            </w:r>
          </w:p>
        </w:tc>
        <w:tc>
          <w:tcPr>
            <w:tcW w:type="dxa" w:w="5040"/>
          </w:tcPr>
          <w:p>
            <w:r>
              <w:rPr>
                <w:rFonts w:ascii="Calibri" w:hAnsi="Calibri"/>
                <w:b w:val="0"/>
                <w:i w:val="0"/>
                <w:sz w:val="19"/>
              </w:rPr>
              <w:t>LT delta visible in platform (baseline vs. current)</w:t>
            </w:r>
          </w:p>
        </w:tc>
      </w:tr>
      <w:tr>
        <w:tc>
          <w:tcPr>
            <w:tcW w:type="dxa" w:w="1728"/>
            <w:shd w:val="clear" w:color="auto" w:fill="EFF6FF"/>
          </w:tcPr>
          <w:p>
            <w:r>
              <w:rPr>
                <w:rFonts w:ascii="Calibri" w:hAnsi="Calibri"/>
                <w:b w:val="0"/>
                <w:i w:val="0"/>
                <w:sz w:val="19"/>
              </w:rPr>
              <w:t>Day 30–60</w:t>
            </w:r>
          </w:p>
        </w:tc>
        <w:tc>
          <w:tcPr>
            <w:tcW w:type="dxa" w:w="5472"/>
            <w:shd w:val="clear" w:color="auto" w:fill="EFF6FF"/>
          </w:tcPr>
          <w:p>
            <w:r>
              <w:rPr>
                <w:rFonts w:ascii="Calibri" w:hAnsi="Calibri"/>
                <w:b w:val="0"/>
                <w:i w:val="0"/>
                <w:sz w:val="19"/>
              </w:rPr>
              <w:t>2nd and 3rd teams onboarded</w:t>
            </w:r>
          </w:p>
        </w:tc>
        <w:tc>
          <w:tcPr>
            <w:tcW w:type="dxa" w:w="5040"/>
            <w:shd w:val="clear" w:color="auto" w:fill="EFF6FF"/>
          </w:tcPr>
          <w:p>
            <w:r>
              <w:rPr>
                <w:rFonts w:ascii="Calibri" w:hAnsi="Calibri"/>
                <w:b w:val="0"/>
                <w:i w:val="0"/>
                <w:sz w:val="19"/>
              </w:rPr>
              <w:t>Portfolio view shows 3 teams</w:t>
            </w:r>
          </w:p>
        </w:tc>
      </w:tr>
      <w:tr>
        <w:tc>
          <w:tcPr>
            <w:tcW w:type="dxa" w:w="1728"/>
          </w:tcPr>
          <w:p>
            <w:r>
              <w:rPr>
                <w:rFonts w:ascii="Calibri" w:hAnsi="Calibri"/>
                <w:b w:val="0"/>
                <w:i w:val="0"/>
                <w:sz w:val="19"/>
              </w:rPr>
              <w:t>Day 60</w:t>
            </w:r>
          </w:p>
        </w:tc>
        <w:tc>
          <w:tcPr>
            <w:tcW w:type="dxa" w:w="5472"/>
          </w:tcPr>
          <w:p>
            <w:r>
              <w:rPr>
                <w:rFonts w:ascii="Calibri" w:hAnsi="Calibri"/>
                <w:b w:val="0"/>
                <w:i w:val="0"/>
                <w:sz w:val="19"/>
              </w:rPr>
              <w:t>First Portfolio Report to VP Eng</w:t>
            </w:r>
          </w:p>
        </w:tc>
        <w:tc>
          <w:tcPr>
            <w:tcW w:type="dxa" w:w="5040"/>
          </w:tcPr>
          <w:p>
            <w:r>
              <w:rPr>
                <w:rFonts w:ascii="Calibri" w:hAnsi="Calibri"/>
                <w:b w:val="0"/>
                <w:i w:val="0"/>
                <w:sz w:val="19"/>
              </w:rPr>
              <w:t>Report distributed and reviewed</w:t>
            </w:r>
          </w:p>
        </w:tc>
      </w:tr>
      <w:tr>
        <w:tc>
          <w:tcPr>
            <w:tcW w:type="dxa" w:w="1728"/>
            <w:shd w:val="clear" w:color="auto" w:fill="EFF6FF"/>
          </w:tcPr>
          <w:p>
            <w:r>
              <w:rPr>
                <w:rFonts w:ascii="Calibri" w:hAnsi="Calibri"/>
                <w:b w:val="0"/>
                <w:i w:val="0"/>
                <w:sz w:val="19"/>
              </w:rPr>
              <w:t>Day 60–90</w:t>
            </w:r>
          </w:p>
        </w:tc>
        <w:tc>
          <w:tcPr>
            <w:tcW w:type="dxa" w:w="5472"/>
            <w:shd w:val="clear" w:color="auto" w:fill="EFF6FF"/>
          </w:tcPr>
          <w:p>
            <w:r>
              <w:rPr>
                <w:rFonts w:ascii="Calibri" w:hAnsi="Calibri"/>
                <w:b w:val="0"/>
                <w:i w:val="0"/>
                <w:sz w:val="19"/>
              </w:rPr>
              <w:t>First Quick Win implementation complete</w:t>
            </w:r>
          </w:p>
        </w:tc>
        <w:tc>
          <w:tcPr>
            <w:tcW w:type="dxa" w:w="5040"/>
            <w:shd w:val="clear" w:color="auto" w:fill="EFF6FF"/>
          </w:tcPr>
          <w:p>
            <w:r>
              <w:rPr>
                <w:rFonts w:ascii="Calibri" w:hAnsi="Calibri"/>
                <w:b w:val="0"/>
                <w:i w:val="0"/>
                <w:sz w:val="19"/>
              </w:rPr>
              <w:t>LT reduction of ≥10% measured in platform</w:t>
            </w:r>
          </w:p>
        </w:tc>
      </w:tr>
      <w:tr>
        <w:tc>
          <w:tcPr>
            <w:tcW w:type="dxa" w:w="1728"/>
          </w:tcPr>
          <w:p>
            <w:r>
              <w:rPr>
                <w:rFonts w:ascii="Calibri" w:hAnsi="Calibri"/>
                <w:b w:val="0"/>
                <w:i w:val="0"/>
                <w:sz w:val="19"/>
              </w:rPr>
              <w:t>Day 90</w:t>
            </w:r>
          </w:p>
        </w:tc>
        <w:tc>
          <w:tcPr>
            <w:tcW w:type="dxa" w:w="5472"/>
          </w:tcPr>
          <w:p>
            <w:r>
              <w:rPr>
                <w:rFonts w:ascii="Calibri" w:hAnsi="Calibri"/>
                <w:b w:val="0"/>
                <w:i w:val="0"/>
                <w:sz w:val="19"/>
              </w:rPr>
              <w:t>90-day ROI review to ELT</w:t>
            </w:r>
          </w:p>
        </w:tc>
        <w:tc>
          <w:tcPr>
            <w:tcW w:type="dxa" w:w="5040"/>
          </w:tcPr>
          <w:p>
            <w:r>
              <w:rPr>
                <w:rFonts w:ascii="Calibri" w:hAnsi="Calibri"/>
                <w:b w:val="0"/>
                <w:i w:val="0"/>
                <w:sz w:val="19"/>
              </w:rPr>
              <w:t>ROI tracking report presented; Scale Phase 2 decision</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