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alibri" w:hAnsi="Calibri"/>
          <w:b/>
          <w:i w:val="0"/>
          <w:color w:val="2563EB"/>
          <w:sz w:val="28"/>
        </w:rPr>
        <w:t>AI-POWERED PDLC TRANSFORMATION</w:t>
      </w:r>
    </w:p>
    <w:p>
      <w:r>
        <w:rPr>
          <w:rFonts w:ascii="Calibri" w:hAnsi="Calibri"/>
          <w:b/>
          <w:i w:val="0"/>
          <w:color w:val="0F2D5E"/>
          <w:sz w:val="48"/>
        </w:rPr>
        <w:t>Complete GTM Pack — Master Index</w:t>
      </w:r>
    </w:p>
    <w:p/>
    <w:p>
      <w:pPr>
        <w:spacing w:before="120" w:after="120"/>
        <w:ind w:left="480" w:right="480"/>
        <w:shd w:val="clear" w:color="auto" w:fill="DBEAFE"/>
      </w:pPr>
      <w:r>
        <w:rPr>
          <w:rFonts w:ascii="Calibri" w:hAnsi="Calibri"/>
          <w:b w:val="0"/>
          <w:i/>
          <w:color w:val="0F2D5E"/>
          <w:sz w:val="21"/>
        </w:rPr>
        <w:t>Three-set GTM Pack: Set 1 (CXO &amp; Demand Gen), Set 2 (Pilot Engagement), Set 3 (Scale Implementation). All documents aligned to the Diagnose → Design → Deliver methodology with Options A, B, C.</w:t>
      </w:r>
    </w:p>
    <w:p>
      <w:r>
        <w:br w:type="page"/>
      </w:r>
    </w:p>
    <w:p>
      <w:pPr>
        <w:spacing w:before="280" w:after="80"/>
      </w:pPr>
      <w:r>
        <w:rPr>
          <w:rFonts w:ascii="Calibri" w:hAnsi="Calibri"/>
          <w:b/>
          <w:i w:val="0"/>
          <w:color w:val="0F2D5E"/>
          <w:sz w:val="32"/>
        </w:rPr>
        <w:t>SET 1 — CXO &amp; Demand Generation Pack</w:t>
      </w:r>
    </w:p>
    <w:p>
      <w:pPr>
        <w:spacing w:after="80"/>
      </w:pPr>
      <w:r>
        <w:rPr>
          <w:rFonts w:ascii="Calibri" w:hAnsi="Calibri"/>
          <w:b w:val="0"/>
          <w:i/>
          <w:sz w:val="21"/>
        </w:rPr>
        <w:t>Purpose: Generate executive awareness, create demand, and qualify opportunities at the CXO level.</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val="clear" w:color="auto" w:fill="0F2D5E"/>
          </w:tcPr>
          <w:p>
            <w:pPr>
              <w:jc w:val="center"/>
            </w:pPr>
            <w:r>
              <w:rPr>
                <w:rFonts w:ascii="Calibri" w:hAnsi="Calibri"/>
                <w:b/>
                <w:i w:val="0"/>
                <w:color w:val="FFFFFF"/>
                <w:sz w:val="19"/>
              </w:rPr>
              <w:t>Doc</w:t>
            </w:r>
          </w:p>
        </w:tc>
        <w:tc>
          <w:tcPr>
            <w:tcW w:type="dxa" w:w="4608"/>
            <w:shd w:val="clear" w:color="auto" w:fill="0F2D5E"/>
          </w:tcPr>
          <w:p>
            <w:pPr>
              <w:jc w:val="center"/>
            </w:pPr>
            <w:r>
              <w:rPr>
                <w:rFonts w:ascii="Calibri" w:hAnsi="Calibri"/>
                <w:b/>
                <w:i w:val="0"/>
                <w:color w:val="FFFFFF"/>
                <w:sz w:val="19"/>
              </w:rPr>
              <w:t>File</w:t>
            </w:r>
          </w:p>
        </w:tc>
        <w:tc>
          <w:tcPr>
            <w:tcW w:type="dxa" w:w="5040"/>
            <w:shd w:val="clear" w:color="auto" w:fill="0F2D5E"/>
          </w:tcPr>
          <w:p>
            <w:pPr>
              <w:jc w:val="center"/>
            </w:pPr>
            <w:r>
              <w:rPr>
                <w:rFonts w:ascii="Calibri" w:hAnsi="Calibri"/>
                <w:b/>
                <w:i w:val="0"/>
                <w:color w:val="FFFFFF"/>
                <w:sz w:val="19"/>
              </w:rPr>
              <w:t>Purpose</w:t>
            </w:r>
          </w:p>
        </w:tc>
        <w:tc>
          <w:tcPr>
            <w:tcW w:type="dxa" w:w="2880"/>
            <w:shd w:val="clear" w:color="auto" w:fill="0F2D5E"/>
          </w:tcPr>
          <w:p>
            <w:pPr>
              <w:jc w:val="center"/>
            </w:pPr>
            <w:r>
              <w:rPr>
                <w:rFonts w:ascii="Calibri" w:hAnsi="Calibri"/>
                <w:b/>
                <w:i w:val="0"/>
                <w:color w:val="FFFFFF"/>
                <w:sz w:val="19"/>
              </w:rPr>
              <w:t>Audience</w:t>
            </w:r>
          </w:p>
        </w:tc>
        <w:tc>
          <w:tcPr>
            <w:tcW w:type="dxa" w:w="1152"/>
            <w:shd w:val="clear" w:color="auto" w:fill="0F2D5E"/>
          </w:tcPr>
          <w:p>
            <w:pPr>
              <w:jc w:val="center"/>
            </w:pPr>
            <w:r>
              <w:rPr>
                <w:rFonts w:ascii="Calibri" w:hAnsi="Calibri"/>
                <w:b/>
                <w:i w:val="0"/>
                <w:color w:val="FFFFFF"/>
                <w:sz w:val="19"/>
              </w:rPr>
              <w:t>Format</w:t>
            </w:r>
          </w:p>
        </w:tc>
      </w:tr>
      <w:tr>
        <w:tc>
          <w:tcPr>
            <w:tcW w:type="dxa" w:w="720"/>
            <w:shd w:val="clear" w:color="auto" w:fill="EFF6FF"/>
          </w:tcPr>
          <w:p>
            <w:r>
              <w:rPr>
                <w:rFonts w:ascii="Calibri" w:hAnsi="Calibri"/>
                <w:b w:val="0"/>
                <w:i w:val="0"/>
                <w:sz w:val="19"/>
              </w:rPr>
              <w:t>01</w:t>
            </w:r>
          </w:p>
        </w:tc>
        <w:tc>
          <w:tcPr>
            <w:tcW w:type="dxa" w:w="4608"/>
            <w:shd w:val="clear" w:color="auto" w:fill="EFF6FF"/>
          </w:tcPr>
          <w:p>
            <w:r>
              <w:rPr>
                <w:rFonts w:ascii="Calibri" w:hAnsi="Calibri"/>
                <w:b w:val="0"/>
                <w:i w:val="0"/>
                <w:sz w:val="19"/>
              </w:rPr>
              <w:t>01-cxo-pitch-deck-v2.pptx</w:t>
            </w:r>
          </w:p>
        </w:tc>
        <w:tc>
          <w:tcPr>
            <w:tcW w:type="dxa" w:w="5040"/>
            <w:shd w:val="clear" w:color="auto" w:fill="EFF6FF"/>
          </w:tcPr>
          <w:p>
            <w:r>
              <w:rPr>
                <w:rFonts w:ascii="Calibri" w:hAnsi="Calibri"/>
                <w:b w:val="0"/>
                <w:i w:val="0"/>
                <w:sz w:val="19"/>
              </w:rPr>
              <w:t>15-slide offering-centric CXO pitch</w:t>
            </w:r>
          </w:p>
        </w:tc>
        <w:tc>
          <w:tcPr>
            <w:tcW w:type="dxa" w:w="2880"/>
            <w:shd w:val="clear" w:color="auto" w:fill="EFF6FF"/>
          </w:tcPr>
          <w:p>
            <w:r>
              <w:rPr>
                <w:rFonts w:ascii="Calibri" w:hAnsi="Calibri"/>
                <w:b w:val="0"/>
                <w:i w:val="0"/>
                <w:sz w:val="19"/>
              </w:rPr>
              <w:t>C-Suite</w:t>
            </w:r>
          </w:p>
        </w:tc>
        <w:tc>
          <w:tcPr>
            <w:tcW w:type="dxa" w:w="1152"/>
            <w:shd w:val="clear" w:color="auto" w:fill="EFF6FF"/>
          </w:tcPr>
          <w:p>
            <w:r>
              <w:rPr>
                <w:rFonts w:ascii="Calibri" w:hAnsi="Calibri"/>
                <w:b w:val="0"/>
                <w:i w:val="0"/>
                <w:sz w:val="19"/>
              </w:rPr>
              <w:t>PPTX</w:t>
            </w:r>
          </w:p>
        </w:tc>
      </w:tr>
      <w:tr>
        <w:tc>
          <w:tcPr>
            <w:tcW w:type="dxa" w:w="720"/>
          </w:tcPr>
          <w:p>
            <w:r>
              <w:rPr>
                <w:rFonts w:ascii="Calibri" w:hAnsi="Calibri"/>
                <w:b w:val="0"/>
                <w:i w:val="0"/>
                <w:sz w:val="19"/>
              </w:rPr>
              <w:t>01b</w:t>
            </w:r>
          </w:p>
        </w:tc>
        <w:tc>
          <w:tcPr>
            <w:tcW w:type="dxa" w:w="4608"/>
          </w:tcPr>
          <w:p>
            <w:r>
              <w:rPr>
                <w:rFonts w:ascii="Calibri" w:hAnsi="Calibri"/>
                <w:b w:val="0"/>
                <w:i w:val="0"/>
                <w:sz w:val="19"/>
              </w:rPr>
              <w:t>01b-offering-slide-v2.pptx</w:t>
            </w:r>
          </w:p>
        </w:tc>
        <w:tc>
          <w:tcPr>
            <w:tcW w:type="dxa" w:w="5040"/>
          </w:tcPr>
          <w:p>
            <w:r>
              <w:rPr>
                <w:rFonts w:ascii="Calibri" w:hAnsi="Calibri"/>
                <w:b w:val="0"/>
                <w:i w:val="0"/>
                <w:sz w:val="19"/>
              </w:rPr>
              <w:t>One-slide offering summary</w:t>
            </w:r>
          </w:p>
        </w:tc>
        <w:tc>
          <w:tcPr>
            <w:tcW w:type="dxa" w:w="2880"/>
          </w:tcPr>
          <w:p>
            <w:r>
              <w:rPr>
                <w:rFonts w:ascii="Calibri" w:hAnsi="Calibri"/>
                <w:b w:val="0"/>
                <w:i w:val="0"/>
                <w:sz w:val="19"/>
              </w:rPr>
              <w:t>CXO / conference</w:t>
            </w:r>
          </w:p>
        </w:tc>
        <w:tc>
          <w:tcPr>
            <w:tcW w:type="dxa" w:w="1152"/>
          </w:tcPr>
          <w:p>
            <w:r>
              <w:rPr>
                <w:rFonts w:ascii="Calibri" w:hAnsi="Calibri"/>
                <w:b w:val="0"/>
                <w:i w:val="0"/>
                <w:sz w:val="19"/>
              </w:rPr>
              <w:t>PPTX</w:t>
            </w:r>
          </w:p>
        </w:tc>
      </w:tr>
      <w:tr>
        <w:tc>
          <w:tcPr>
            <w:tcW w:type="dxa" w:w="720"/>
            <w:shd w:val="clear" w:color="auto" w:fill="EFF6FF"/>
          </w:tcPr>
          <w:p>
            <w:r>
              <w:rPr>
                <w:rFonts w:ascii="Calibri" w:hAnsi="Calibri"/>
                <w:b w:val="0"/>
                <w:i w:val="0"/>
                <w:sz w:val="19"/>
              </w:rPr>
              <w:t>02</w:t>
            </w:r>
          </w:p>
        </w:tc>
        <w:tc>
          <w:tcPr>
            <w:tcW w:type="dxa" w:w="4608"/>
            <w:shd w:val="clear" w:color="auto" w:fill="EFF6FF"/>
          </w:tcPr>
          <w:p>
            <w:r>
              <w:rPr>
                <w:rFonts w:ascii="Calibri" w:hAnsi="Calibri"/>
                <w:b w:val="0"/>
                <w:i w:val="0"/>
                <w:sz w:val="19"/>
              </w:rPr>
              <w:t>02-cxo-question-bank.docx</w:t>
            </w:r>
          </w:p>
        </w:tc>
        <w:tc>
          <w:tcPr>
            <w:tcW w:type="dxa" w:w="5040"/>
            <w:shd w:val="clear" w:color="auto" w:fill="EFF6FF"/>
          </w:tcPr>
          <w:p>
            <w:r>
              <w:rPr>
                <w:rFonts w:ascii="Calibri" w:hAnsi="Calibri"/>
                <w:b w:val="0"/>
                <w:i w:val="0"/>
                <w:sz w:val="19"/>
              </w:rPr>
              <w:t>41 discovery questions across 3 phases</w:t>
            </w:r>
          </w:p>
        </w:tc>
        <w:tc>
          <w:tcPr>
            <w:tcW w:type="dxa" w:w="2880"/>
            <w:shd w:val="clear" w:color="auto" w:fill="EFF6FF"/>
          </w:tcPr>
          <w:p>
            <w:r>
              <w:rPr>
                <w:rFonts w:ascii="Calibri" w:hAnsi="Calibri"/>
                <w:b w:val="0"/>
                <w:i w:val="0"/>
                <w:sz w:val="19"/>
              </w:rPr>
              <w:t>Sales / Consulting</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03</w:t>
            </w:r>
          </w:p>
        </w:tc>
        <w:tc>
          <w:tcPr>
            <w:tcW w:type="dxa" w:w="4608"/>
          </w:tcPr>
          <w:p>
            <w:r>
              <w:rPr>
                <w:rFonts w:ascii="Calibri" w:hAnsi="Calibri"/>
                <w:b w:val="0"/>
                <w:i w:val="0"/>
                <w:sz w:val="19"/>
              </w:rPr>
              <w:t>03-service-brief.docx</w:t>
            </w:r>
          </w:p>
        </w:tc>
        <w:tc>
          <w:tcPr>
            <w:tcW w:type="dxa" w:w="5040"/>
          </w:tcPr>
          <w:p>
            <w:r>
              <w:rPr>
                <w:rFonts w:ascii="Calibri" w:hAnsi="Calibri"/>
                <w:b w:val="0"/>
                <w:i w:val="0"/>
                <w:sz w:val="19"/>
              </w:rPr>
              <w:t>2-page offering overview</w:t>
            </w:r>
          </w:p>
        </w:tc>
        <w:tc>
          <w:tcPr>
            <w:tcW w:type="dxa" w:w="2880"/>
          </w:tcPr>
          <w:p>
            <w:r>
              <w:rPr>
                <w:rFonts w:ascii="Calibri" w:hAnsi="Calibri"/>
                <w:b w:val="0"/>
                <w:i w:val="0"/>
                <w:sz w:val="19"/>
              </w:rPr>
              <w:t>CXO / ELT</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04</w:t>
            </w:r>
          </w:p>
        </w:tc>
        <w:tc>
          <w:tcPr>
            <w:tcW w:type="dxa" w:w="4608"/>
            <w:shd w:val="clear" w:color="auto" w:fill="EFF6FF"/>
          </w:tcPr>
          <w:p>
            <w:r>
              <w:rPr>
                <w:rFonts w:ascii="Calibri" w:hAnsi="Calibri"/>
                <w:b w:val="0"/>
                <w:i w:val="0"/>
                <w:sz w:val="19"/>
              </w:rPr>
              <w:t>04-whitepaper.docx</w:t>
            </w:r>
          </w:p>
        </w:tc>
        <w:tc>
          <w:tcPr>
            <w:tcW w:type="dxa" w:w="5040"/>
            <w:shd w:val="clear" w:color="auto" w:fill="EFF6FF"/>
          </w:tcPr>
          <w:p>
            <w:r>
              <w:rPr>
                <w:rFonts w:ascii="Calibri" w:hAnsi="Calibri"/>
                <w:b w:val="0"/>
                <w:i w:val="0"/>
                <w:sz w:val="19"/>
              </w:rPr>
              <w:t>Thought leadership: PDLC AI transformation</w:t>
            </w:r>
          </w:p>
        </w:tc>
        <w:tc>
          <w:tcPr>
            <w:tcW w:type="dxa" w:w="2880"/>
            <w:shd w:val="clear" w:color="auto" w:fill="EFF6FF"/>
          </w:tcPr>
          <w:p>
            <w:r>
              <w:rPr>
                <w:rFonts w:ascii="Calibri" w:hAnsi="Calibri"/>
                <w:b w:val="0"/>
                <w:i w:val="0"/>
                <w:sz w:val="19"/>
              </w:rPr>
              <w:t>CXO / VP</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05</w:t>
            </w:r>
          </w:p>
        </w:tc>
        <w:tc>
          <w:tcPr>
            <w:tcW w:type="dxa" w:w="4608"/>
          </w:tcPr>
          <w:p>
            <w:r>
              <w:rPr>
                <w:rFonts w:ascii="Calibri" w:hAnsi="Calibri"/>
                <w:b w:val="0"/>
                <w:i w:val="0"/>
                <w:sz w:val="19"/>
              </w:rPr>
              <w:t>05-roi-calculator.docx</w:t>
            </w:r>
          </w:p>
        </w:tc>
        <w:tc>
          <w:tcPr>
            <w:tcW w:type="dxa" w:w="5040"/>
          </w:tcPr>
          <w:p>
            <w:r>
              <w:rPr>
                <w:rFonts w:ascii="Calibri" w:hAnsi="Calibri"/>
                <w:b w:val="0"/>
                <w:i w:val="0"/>
                <w:sz w:val="19"/>
              </w:rPr>
              <w:t>3-option ROI calculator with scenarios</w:t>
            </w:r>
          </w:p>
        </w:tc>
        <w:tc>
          <w:tcPr>
            <w:tcW w:type="dxa" w:w="2880"/>
          </w:tcPr>
          <w:p>
            <w:r>
              <w:rPr>
                <w:rFonts w:ascii="Calibri" w:hAnsi="Calibri"/>
                <w:b w:val="0"/>
                <w:i w:val="0"/>
                <w:sz w:val="19"/>
              </w:rPr>
              <w:t>CFO / Finance</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06</w:t>
            </w:r>
          </w:p>
        </w:tc>
        <w:tc>
          <w:tcPr>
            <w:tcW w:type="dxa" w:w="4608"/>
            <w:shd w:val="clear" w:color="auto" w:fill="EFF6FF"/>
          </w:tcPr>
          <w:p>
            <w:r>
              <w:rPr>
                <w:rFonts w:ascii="Calibri" w:hAnsi="Calibri"/>
                <w:b w:val="0"/>
                <w:i w:val="0"/>
                <w:sz w:val="19"/>
              </w:rPr>
              <w:t>06-benchmark-report.docx</w:t>
            </w:r>
          </w:p>
        </w:tc>
        <w:tc>
          <w:tcPr>
            <w:tcW w:type="dxa" w:w="5040"/>
            <w:shd w:val="clear" w:color="auto" w:fill="EFF6FF"/>
          </w:tcPr>
          <w:p>
            <w:r>
              <w:rPr>
                <w:rFonts w:ascii="Calibri" w:hAnsi="Calibri"/>
                <w:b w:val="0"/>
                <w:i w:val="0"/>
                <w:sz w:val="19"/>
              </w:rPr>
              <w:t>Industry benchmarks across 3 AI options</w:t>
            </w:r>
          </w:p>
        </w:tc>
        <w:tc>
          <w:tcPr>
            <w:tcW w:type="dxa" w:w="2880"/>
            <w:shd w:val="clear" w:color="auto" w:fill="EFF6FF"/>
          </w:tcPr>
          <w:p>
            <w:r>
              <w:rPr>
                <w:rFonts w:ascii="Calibri" w:hAnsi="Calibri"/>
                <w:b w:val="0"/>
                <w:i w:val="0"/>
                <w:sz w:val="19"/>
              </w:rPr>
              <w:t>VP Engineering</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07</w:t>
            </w:r>
          </w:p>
        </w:tc>
        <w:tc>
          <w:tcPr>
            <w:tcW w:type="dxa" w:w="4608"/>
          </w:tcPr>
          <w:p>
            <w:r>
              <w:rPr>
                <w:rFonts w:ascii="Calibri" w:hAnsi="Calibri"/>
                <w:b w:val="0"/>
                <w:i w:val="0"/>
                <w:sz w:val="19"/>
              </w:rPr>
              <w:t>07-case-study-usbank.docx</w:t>
            </w:r>
          </w:p>
        </w:tc>
        <w:tc>
          <w:tcPr>
            <w:tcW w:type="dxa" w:w="5040"/>
          </w:tcPr>
          <w:p>
            <w:r>
              <w:rPr>
                <w:rFonts w:ascii="Calibri" w:hAnsi="Calibri"/>
                <w:b w:val="0"/>
                <w:i w:val="0"/>
                <w:sz w:val="19"/>
              </w:rPr>
              <w:t>US Bank 4.2× ROI case study</w:t>
            </w:r>
          </w:p>
        </w:tc>
        <w:tc>
          <w:tcPr>
            <w:tcW w:type="dxa" w:w="2880"/>
          </w:tcPr>
          <w:p>
            <w:r>
              <w:rPr>
                <w:rFonts w:ascii="Calibri" w:hAnsi="Calibri"/>
                <w:b w:val="0"/>
                <w:i w:val="0"/>
                <w:sz w:val="19"/>
              </w:rPr>
              <w:t>All buyers</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08</w:t>
            </w:r>
          </w:p>
        </w:tc>
        <w:tc>
          <w:tcPr>
            <w:tcW w:type="dxa" w:w="4608"/>
            <w:shd w:val="clear" w:color="auto" w:fill="EFF6FF"/>
          </w:tcPr>
          <w:p>
            <w:r>
              <w:rPr>
                <w:rFonts w:ascii="Calibri" w:hAnsi="Calibri"/>
                <w:b w:val="0"/>
                <w:i w:val="0"/>
                <w:sz w:val="19"/>
              </w:rPr>
              <w:t>08-commercial-model.docx</w:t>
            </w:r>
          </w:p>
        </w:tc>
        <w:tc>
          <w:tcPr>
            <w:tcW w:type="dxa" w:w="5040"/>
            <w:shd w:val="clear" w:color="auto" w:fill="EFF6FF"/>
          </w:tcPr>
          <w:p>
            <w:r>
              <w:rPr>
                <w:rFonts w:ascii="Calibri" w:hAnsi="Calibri"/>
                <w:b w:val="0"/>
                <w:i w:val="0"/>
                <w:sz w:val="19"/>
              </w:rPr>
              <w:t>3-option pricing &amp; commercial structures</w:t>
            </w:r>
          </w:p>
        </w:tc>
        <w:tc>
          <w:tcPr>
            <w:tcW w:type="dxa" w:w="2880"/>
            <w:shd w:val="clear" w:color="auto" w:fill="EFF6FF"/>
          </w:tcPr>
          <w:p>
            <w:r>
              <w:rPr>
                <w:rFonts w:ascii="Calibri" w:hAnsi="Calibri"/>
                <w:b w:val="0"/>
                <w:i w:val="0"/>
                <w:sz w:val="19"/>
              </w:rPr>
              <w:t>CFO / Procurement</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09</w:t>
            </w:r>
          </w:p>
        </w:tc>
        <w:tc>
          <w:tcPr>
            <w:tcW w:type="dxa" w:w="4608"/>
          </w:tcPr>
          <w:p>
            <w:r>
              <w:rPr>
                <w:rFonts w:ascii="Calibri" w:hAnsi="Calibri"/>
                <w:b w:val="0"/>
                <w:i w:val="0"/>
                <w:sz w:val="19"/>
              </w:rPr>
              <w:t>09-engagement-model.docx</w:t>
            </w:r>
          </w:p>
        </w:tc>
        <w:tc>
          <w:tcPr>
            <w:tcW w:type="dxa" w:w="5040"/>
          </w:tcPr>
          <w:p>
            <w:r>
              <w:rPr>
                <w:rFonts w:ascii="Calibri" w:hAnsi="Calibri"/>
                <w:b w:val="0"/>
                <w:i w:val="0"/>
                <w:sz w:val="19"/>
              </w:rPr>
              <w:t>Delivery model &amp; team structure</w:t>
            </w:r>
          </w:p>
        </w:tc>
        <w:tc>
          <w:tcPr>
            <w:tcW w:type="dxa" w:w="2880"/>
          </w:tcPr>
          <w:p>
            <w:r>
              <w:rPr>
                <w:rFonts w:ascii="Calibri" w:hAnsi="Calibri"/>
                <w:b w:val="0"/>
                <w:i w:val="0"/>
                <w:sz w:val="19"/>
              </w:rPr>
              <w:t>VP / Director</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10</w:t>
            </w:r>
          </w:p>
        </w:tc>
        <w:tc>
          <w:tcPr>
            <w:tcW w:type="dxa" w:w="4608"/>
            <w:shd w:val="clear" w:color="auto" w:fill="EFF6FF"/>
          </w:tcPr>
          <w:p>
            <w:r>
              <w:rPr>
                <w:rFonts w:ascii="Calibri" w:hAnsi="Calibri"/>
                <w:b w:val="0"/>
                <w:i w:val="0"/>
                <w:sz w:val="19"/>
              </w:rPr>
              <w:t>10-demo-script.docx</w:t>
            </w:r>
          </w:p>
        </w:tc>
        <w:tc>
          <w:tcPr>
            <w:tcW w:type="dxa" w:w="5040"/>
            <w:shd w:val="clear" w:color="auto" w:fill="EFF6FF"/>
          </w:tcPr>
          <w:p>
            <w:r>
              <w:rPr>
                <w:rFonts w:ascii="Calibri" w:hAnsi="Calibri"/>
                <w:b w:val="0"/>
                <w:i w:val="0"/>
                <w:sz w:val="19"/>
              </w:rPr>
              <w:t>Platform demo script (offering-led)</w:t>
            </w:r>
          </w:p>
        </w:tc>
        <w:tc>
          <w:tcPr>
            <w:tcW w:type="dxa" w:w="2880"/>
            <w:shd w:val="clear" w:color="auto" w:fill="EFF6FF"/>
          </w:tcPr>
          <w:p>
            <w:r>
              <w:rPr>
                <w:rFonts w:ascii="Calibri" w:hAnsi="Calibri"/>
                <w:b w:val="0"/>
                <w:i w:val="0"/>
                <w:sz w:val="19"/>
              </w:rPr>
              <w:t>Sales / Consulting</w:t>
            </w:r>
          </w:p>
        </w:tc>
        <w:tc>
          <w:tcPr>
            <w:tcW w:type="dxa" w:w="1152"/>
            <w:shd w:val="clear" w:color="auto" w:fill="EFF6FF"/>
          </w:tcPr>
          <w:p>
            <w:r>
              <w:rPr>
                <w:rFonts w:ascii="Calibri" w:hAnsi="Calibri"/>
                <w:b w:val="0"/>
                <w:i w:val="0"/>
                <w:sz w:val="19"/>
              </w:rPr>
              <w:t>DOCX</w:t>
            </w:r>
          </w:p>
        </w:tc>
      </w:tr>
    </w:tbl>
    <w:p/>
    <w:p>
      <w:r>
        <w:br w:type="page"/>
      </w:r>
    </w:p>
    <w:p>
      <w:pPr>
        <w:spacing w:before="280" w:after="80"/>
      </w:pPr>
      <w:r>
        <w:rPr>
          <w:rFonts w:ascii="Calibri" w:hAnsi="Calibri"/>
          <w:b/>
          <w:i w:val="0"/>
          <w:color w:val="0F2D5E"/>
          <w:sz w:val="32"/>
        </w:rPr>
        <w:t>SET 2 — Pilot Engagement Pack</w:t>
      </w:r>
    </w:p>
    <w:p>
      <w:pPr>
        <w:spacing w:after="80"/>
      </w:pPr>
      <w:r>
        <w:rPr>
          <w:rFonts w:ascii="Calibri" w:hAnsi="Calibri"/>
          <w:b w:val="0"/>
          <w:i/>
          <w:sz w:val="21"/>
        </w:rPr>
        <w:t>Purpose: Run a structured 12-week pilot engagement from discovery through findings readout.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val="clear" w:color="auto" w:fill="0F2D5E"/>
          </w:tcPr>
          <w:p>
            <w:pPr>
              <w:jc w:val="center"/>
            </w:pPr>
            <w:r>
              <w:rPr>
                <w:rFonts w:ascii="Calibri" w:hAnsi="Calibri"/>
                <w:b/>
                <w:i w:val="0"/>
                <w:color w:val="FFFFFF"/>
                <w:sz w:val="19"/>
              </w:rPr>
              <w:t>Doc</w:t>
            </w:r>
          </w:p>
        </w:tc>
        <w:tc>
          <w:tcPr>
            <w:tcW w:type="dxa" w:w="4608"/>
            <w:shd w:val="clear" w:color="auto" w:fill="0F2D5E"/>
          </w:tcPr>
          <w:p>
            <w:pPr>
              <w:jc w:val="center"/>
            </w:pPr>
            <w:r>
              <w:rPr>
                <w:rFonts w:ascii="Calibri" w:hAnsi="Calibri"/>
                <w:b/>
                <w:i w:val="0"/>
                <w:color w:val="FFFFFF"/>
                <w:sz w:val="19"/>
              </w:rPr>
              <w:t>File</w:t>
            </w:r>
          </w:p>
        </w:tc>
        <w:tc>
          <w:tcPr>
            <w:tcW w:type="dxa" w:w="5040"/>
            <w:shd w:val="clear" w:color="auto" w:fill="0F2D5E"/>
          </w:tcPr>
          <w:p>
            <w:pPr>
              <w:jc w:val="center"/>
            </w:pPr>
            <w:r>
              <w:rPr>
                <w:rFonts w:ascii="Calibri" w:hAnsi="Calibri"/>
                <w:b/>
                <w:i w:val="0"/>
                <w:color w:val="FFFFFF"/>
                <w:sz w:val="19"/>
              </w:rPr>
              <w:t>Purpose</w:t>
            </w:r>
          </w:p>
        </w:tc>
        <w:tc>
          <w:tcPr>
            <w:tcW w:type="dxa" w:w="2880"/>
            <w:shd w:val="clear" w:color="auto" w:fill="0F2D5E"/>
          </w:tcPr>
          <w:p>
            <w:pPr>
              <w:jc w:val="center"/>
            </w:pPr>
            <w:r>
              <w:rPr>
                <w:rFonts w:ascii="Calibri" w:hAnsi="Calibri"/>
                <w:b/>
                <w:i w:val="0"/>
                <w:color w:val="FFFFFF"/>
                <w:sz w:val="19"/>
              </w:rPr>
              <w:t>Audience</w:t>
            </w:r>
          </w:p>
        </w:tc>
        <w:tc>
          <w:tcPr>
            <w:tcW w:type="dxa" w:w="1152"/>
            <w:shd w:val="clear" w:color="auto" w:fill="0F2D5E"/>
          </w:tcPr>
          <w:p>
            <w:pPr>
              <w:jc w:val="center"/>
            </w:pPr>
            <w:r>
              <w:rPr>
                <w:rFonts w:ascii="Calibri" w:hAnsi="Calibri"/>
                <w:b/>
                <w:i w:val="0"/>
                <w:color w:val="FFFFFF"/>
                <w:sz w:val="19"/>
              </w:rPr>
              <w:t>Format</w:t>
            </w:r>
          </w:p>
        </w:tc>
      </w:tr>
      <w:tr>
        <w:tc>
          <w:tcPr>
            <w:tcW w:type="dxa" w:w="720"/>
            <w:shd w:val="clear" w:color="auto" w:fill="EFF6FF"/>
          </w:tcPr>
          <w:p>
            <w:r>
              <w:rPr>
                <w:rFonts w:ascii="Calibri" w:hAnsi="Calibri"/>
                <w:b w:val="0"/>
                <w:i w:val="0"/>
                <w:sz w:val="19"/>
              </w:rPr>
              <w:t>11</w:t>
            </w:r>
          </w:p>
        </w:tc>
        <w:tc>
          <w:tcPr>
            <w:tcW w:type="dxa" w:w="4608"/>
            <w:shd w:val="clear" w:color="auto" w:fill="EFF6FF"/>
          </w:tcPr>
          <w:p>
            <w:r>
              <w:rPr>
                <w:rFonts w:ascii="Calibri" w:hAnsi="Calibri"/>
                <w:b w:val="0"/>
                <w:i w:val="0"/>
                <w:sz w:val="19"/>
              </w:rPr>
              <w:t>11-pilot-proposal-template.docx</w:t>
            </w:r>
          </w:p>
        </w:tc>
        <w:tc>
          <w:tcPr>
            <w:tcW w:type="dxa" w:w="5040"/>
            <w:shd w:val="clear" w:color="auto" w:fill="EFF6FF"/>
          </w:tcPr>
          <w:p>
            <w:r>
              <w:rPr>
                <w:rFonts w:ascii="Calibri" w:hAnsi="Calibri"/>
                <w:b w:val="0"/>
                <w:i w:val="0"/>
                <w:sz w:val="19"/>
              </w:rPr>
              <w:t>Pilot proposal with 3-option scoping</w:t>
            </w:r>
          </w:p>
        </w:tc>
        <w:tc>
          <w:tcPr>
            <w:tcW w:type="dxa" w:w="2880"/>
            <w:shd w:val="clear" w:color="auto" w:fill="EFF6FF"/>
          </w:tcPr>
          <w:p>
            <w:r>
              <w:rPr>
                <w:rFonts w:ascii="Calibri" w:hAnsi="Calibri"/>
                <w:b w:val="0"/>
                <w:i w:val="0"/>
                <w:sz w:val="19"/>
              </w:rPr>
              <w:t>Client Exec</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12</w:t>
            </w:r>
          </w:p>
        </w:tc>
        <w:tc>
          <w:tcPr>
            <w:tcW w:type="dxa" w:w="4608"/>
          </w:tcPr>
          <w:p>
            <w:r>
              <w:rPr>
                <w:rFonts w:ascii="Calibri" w:hAnsi="Calibri"/>
                <w:b w:val="0"/>
                <w:i w:val="0"/>
                <w:sz w:val="19"/>
              </w:rPr>
              <w:t>12-project-charter.docx</w:t>
            </w:r>
          </w:p>
        </w:tc>
        <w:tc>
          <w:tcPr>
            <w:tcW w:type="dxa" w:w="5040"/>
          </w:tcPr>
          <w:p>
            <w:r>
              <w:rPr>
                <w:rFonts w:ascii="Calibri" w:hAnsi="Calibri"/>
                <w:b w:val="0"/>
                <w:i w:val="0"/>
                <w:sz w:val="19"/>
              </w:rPr>
              <w:t>Engagement charter: scope, governance, success</w:t>
            </w:r>
          </w:p>
        </w:tc>
        <w:tc>
          <w:tcPr>
            <w:tcW w:type="dxa" w:w="2880"/>
          </w:tcPr>
          <w:p>
            <w:r>
              <w:rPr>
                <w:rFonts w:ascii="Calibri" w:hAnsi="Calibri"/>
                <w:b w:val="0"/>
                <w:i w:val="0"/>
                <w:sz w:val="19"/>
              </w:rPr>
              <w:t>Steering Comm.</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13</w:t>
            </w:r>
          </w:p>
        </w:tc>
        <w:tc>
          <w:tcPr>
            <w:tcW w:type="dxa" w:w="4608"/>
            <w:shd w:val="clear" w:color="auto" w:fill="EFF6FF"/>
          </w:tcPr>
          <w:p>
            <w:r>
              <w:rPr>
                <w:rFonts w:ascii="Calibri" w:hAnsi="Calibri"/>
                <w:b w:val="0"/>
                <w:i w:val="0"/>
                <w:sz w:val="19"/>
              </w:rPr>
              <w:t>13-pilot-delivery-runbook.docx</w:t>
            </w:r>
          </w:p>
        </w:tc>
        <w:tc>
          <w:tcPr>
            <w:tcW w:type="dxa" w:w="5040"/>
            <w:shd w:val="clear" w:color="auto" w:fill="EFF6FF"/>
          </w:tcPr>
          <w:p>
            <w:r>
              <w:rPr>
                <w:rFonts w:ascii="Calibri" w:hAnsi="Calibri"/>
                <w:b w:val="0"/>
                <w:i w:val="0"/>
                <w:sz w:val="19"/>
              </w:rPr>
              <w:t>Week-by-week delivery guide</w:t>
            </w:r>
          </w:p>
        </w:tc>
        <w:tc>
          <w:tcPr>
            <w:tcW w:type="dxa" w:w="2880"/>
            <w:shd w:val="clear" w:color="auto" w:fill="EFF6FF"/>
          </w:tcPr>
          <w:p>
            <w:r>
              <w:rPr>
                <w:rFonts w:ascii="Calibri" w:hAnsi="Calibri"/>
                <w:b w:val="0"/>
                <w:i w:val="0"/>
                <w:sz w:val="19"/>
              </w:rPr>
              <w:t>Delivery Team</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14</w:t>
            </w:r>
          </w:p>
        </w:tc>
        <w:tc>
          <w:tcPr>
            <w:tcW w:type="dxa" w:w="4608"/>
          </w:tcPr>
          <w:p>
            <w:r>
              <w:rPr>
                <w:rFonts w:ascii="Calibri" w:hAnsi="Calibri"/>
                <w:b w:val="0"/>
                <w:i w:val="0"/>
                <w:sz w:val="19"/>
              </w:rPr>
              <w:t>14-raci-matrix.docx</w:t>
            </w:r>
          </w:p>
        </w:tc>
        <w:tc>
          <w:tcPr>
            <w:tcW w:type="dxa" w:w="5040"/>
          </w:tcPr>
          <w:p>
            <w:r>
              <w:rPr>
                <w:rFonts w:ascii="Calibri" w:hAnsi="Calibri"/>
                <w:b w:val="0"/>
                <w:i w:val="0"/>
                <w:sz w:val="19"/>
              </w:rPr>
              <w:t>Responsibilities across 3 phases &amp; options</w:t>
            </w:r>
          </w:p>
        </w:tc>
        <w:tc>
          <w:tcPr>
            <w:tcW w:type="dxa" w:w="2880"/>
          </w:tcPr>
          <w:p>
            <w:r>
              <w:rPr>
                <w:rFonts w:ascii="Calibri" w:hAnsi="Calibri"/>
                <w:b w:val="0"/>
                <w:i w:val="0"/>
                <w:sz w:val="19"/>
              </w:rPr>
              <w:t>All stakeholders</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15</w:t>
            </w:r>
          </w:p>
        </w:tc>
        <w:tc>
          <w:tcPr>
            <w:tcW w:type="dxa" w:w="4608"/>
            <w:shd w:val="clear" w:color="auto" w:fill="EFF6FF"/>
          </w:tcPr>
          <w:p>
            <w:r>
              <w:rPr>
                <w:rFonts w:ascii="Calibri" w:hAnsi="Calibri"/>
                <w:b w:val="0"/>
                <w:i w:val="0"/>
                <w:sz w:val="19"/>
              </w:rPr>
              <w:t>15-pilot-findings-readout.pptx</w:t>
            </w:r>
          </w:p>
        </w:tc>
        <w:tc>
          <w:tcPr>
            <w:tcW w:type="dxa" w:w="5040"/>
            <w:shd w:val="clear" w:color="auto" w:fill="EFF6FF"/>
          </w:tcPr>
          <w:p>
            <w:r>
              <w:rPr>
                <w:rFonts w:ascii="Calibri" w:hAnsi="Calibri"/>
                <w:b w:val="0"/>
                <w:i w:val="0"/>
                <w:sz w:val="19"/>
              </w:rPr>
              <w:t>Findings &amp; options presentation deck</w:t>
            </w:r>
          </w:p>
        </w:tc>
        <w:tc>
          <w:tcPr>
            <w:tcW w:type="dxa" w:w="2880"/>
            <w:shd w:val="clear" w:color="auto" w:fill="EFF6FF"/>
          </w:tcPr>
          <w:p>
            <w:r>
              <w:rPr>
                <w:rFonts w:ascii="Calibri" w:hAnsi="Calibri"/>
                <w:b w:val="0"/>
                <w:i w:val="0"/>
                <w:sz w:val="19"/>
              </w:rPr>
              <w:t>Executive Sponsor</w:t>
            </w:r>
          </w:p>
        </w:tc>
        <w:tc>
          <w:tcPr>
            <w:tcW w:type="dxa" w:w="1152"/>
            <w:shd w:val="clear" w:color="auto" w:fill="EFF6FF"/>
          </w:tcPr>
          <w:p>
            <w:r>
              <w:rPr>
                <w:rFonts w:ascii="Calibri" w:hAnsi="Calibri"/>
                <w:b w:val="0"/>
                <w:i w:val="0"/>
                <w:sz w:val="19"/>
              </w:rPr>
              <w:t>PPTX</w:t>
            </w:r>
          </w:p>
        </w:tc>
      </w:tr>
      <w:tr>
        <w:tc>
          <w:tcPr>
            <w:tcW w:type="dxa" w:w="720"/>
          </w:tcPr>
          <w:p>
            <w:r>
              <w:rPr>
                <w:rFonts w:ascii="Calibri" w:hAnsi="Calibri"/>
                <w:b w:val="0"/>
                <w:i w:val="0"/>
                <w:sz w:val="19"/>
              </w:rPr>
              <w:t>16</w:t>
            </w:r>
          </w:p>
        </w:tc>
        <w:tc>
          <w:tcPr>
            <w:tcW w:type="dxa" w:w="4608"/>
          </w:tcPr>
          <w:p>
            <w:r>
              <w:rPr>
                <w:rFonts w:ascii="Calibri" w:hAnsi="Calibri"/>
                <w:b w:val="0"/>
                <w:i w:val="0"/>
                <w:sz w:val="19"/>
              </w:rPr>
              <w:t>16-discovery-questionnaire.docx</w:t>
            </w:r>
          </w:p>
        </w:tc>
        <w:tc>
          <w:tcPr>
            <w:tcW w:type="dxa" w:w="5040"/>
          </w:tcPr>
          <w:p>
            <w:r>
              <w:rPr>
                <w:rFonts w:ascii="Calibri" w:hAnsi="Calibri"/>
                <w:b w:val="0"/>
                <w:i w:val="0"/>
                <w:sz w:val="19"/>
              </w:rPr>
              <w:t>Structured discovery: speed/productivity/quality</w:t>
            </w:r>
          </w:p>
        </w:tc>
        <w:tc>
          <w:tcPr>
            <w:tcW w:type="dxa" w:w="2880"/>
          </w:tcPr>
          <w:p>
            <w:r>
              <w:rPr>
                <w:rFonts w:ascii="Calibri" w:hAnsi="Calibri"/>
                <w:b w:val="0"/>
                <w:i w:val="0"/>
                <w:sz w:val="19"/>
              </w:rPr>
              <w:t>Consulting Lead</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17</w:t>
            </w:r>
          </w:p>
        </w:tc>
        <w:tc>
          <w:tcPr>
            <w:tcW w:type="dxa" w:w="4608"/>
            <w:shd w:val="clear" w:color="auto" w:fill="EFF6FF"/>
          </w:tcPr>
          <w:p>
            <w:r>
              <w:rPr>
                <w:rFonts w:ascii="Calibri" w:hAnsi="Calibri"/>
                <w:b w:val="0"/>
                <w:i w:val="0"/>
                <w:sz w:val="19"/>
              </w:rPr>
              <w:t>17-kickoff-meeting-guide.docx</w:t>
            </w:r>
          </w:p>
        </w:tc>
        <w:tc>
          <w:tcPr>
            <w:tcW w:type="dxa" w:w="5040"/>
            <w:shd w:val="clear" w:color="auto" w:fill="EFF6FF"/>
          </w:tcPr>
          <w:p>
            <w:r>
              <w:rPr>
                <w:rFonts w:ascii="Calibri" w:hAnsi="Calibri"/>
                <w:b w:val="0"/>
                <w:i w:val="0"/>
                <w:sz w:val="19"/>
              </w:rPr>
              <w:t>Day-1 kickoff agenda &amp; facilitation guide</w:t>
            </w:r>
          </w:p>
        </w:tc>
        <w:tc>
          <w:tcPr>
            <w:tcW w:type="dxa" w:w="2880"/>
            <w:shd w:val="clear" w:color="auto" w:fill="EFF6FF"/>
          </w:tcPr>
          <w:p>
            <w:r>
              <w:rPr>
                <w:rFonts w:ascii="Calibri" w:hAnsi="Calibri"/>
                <w:b w:val="0"/>
                <w:i w:val="0"/>
                <w:sz w:val="19"/>
              </w:rPr>
              <w:t>Programme Lead</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18</w:t>
            </w:r>
          </w:p>
        </w:tc>
        <w:tc>
          <w:tcPr>
            <w:tcW w:type="dxa" w:w="4608"/>
          </w:tcPr>
          <w:p>
            <w:r>
              <w:rPr>
                <w:rFonts w:ascii="Calibri" w:hAnsi="Calibri"/>
                <w:b w:val="0"/>
                <w:i w:val="0"/>
                <w:sz w:val="19"/>
              </w:rPr>
              <w:t>18-ai-evidence-protocol.docx</w:t>
            </w:r>
          </w:p>
        </w:tc>
        <w:tc>
          <w:tcPr>
            <w:tcW w:type="dxa" w:w="5040"/>
          </w:tcPr>
          <w:p>
            <w:r>
              <w:rPr>
                <w:rFonts w:ascii="Calibri" w:hAnsi="Calibri"/>
                <w:b w:val="0"/>
                <w:i w:val="0"/>
                <w:sz w:val="19"/>
              </w:rPr>
              <w:t>Data collection for AI transformation readiness</w:t>
            </w:r>
          </w:p>
        </w:tc>
        <w:tc>
          <w:tcPr>
            <w:tcW w:type="dxa" w:w="2880"/>
          </w:tcPr>
          <w:p>
            <w:r>
              <w:rPr>
                <w:rFonts w:ascii="Calibri" w:hAnsi="Calibri"/>
                <w:b w:val="0"/>
                <w:i w:val="0"/>
                <w:sz w:val="19"/>
              </w:rPr>
              <w:t>Analytics Lead</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19</w:t>
            </w:r>
          </w:p>
        </w:tc>
        <w:tc>
          <w:tcPr>
            <w:tcW w:type="dxa" w:w="4608"/>
            <w:shd w:val="clear" w:color="auto" w:fill="EFF6FF"/>
          </w:tcPr>
          <w:p>
            <w:r>
              <w:rPr>
                <w:rFonts w:ascii="Calibri" w:hAnsi="Calibri"/>
                <w:b w:val="0"/>
                <w:i w:val="0"/>
                <w:sz w:val="19"/>
              </w:rPr>
              <w:t>19-risk-register.docx</w:t>
            </w:r>
          </w:p>
        </w:tc>
        <w:tc>
          <w:tcPr>
            <w:tcW w:type="dxa" w:w="5040"/>
            <w:shd w:val="clear" w:color="auto" w:fill="EFF6FF"/>
          </w:tcPr>
          <w:p>
            <w:r>
              <w:rPr>
                <w:rFonts w:ascii="Calibri" w:hAnsi="Calibri"/>
                <w:b w:val="0"/>
                <w:i w:val="0"/>
                <w:sz w:val="19"/>
              </w:rPr>
              <w:t>Risks across 3 transformation options</w:t>
            </w:r>
          </w:p>
        </w:tc>
        <w:tc>
          <w:tcPr>
            <w:tcW w:type="dxa" w:w="2880"/>
            <w:shd w:val="clear" w:color="auto" w:fill="EFF6FF"/>
          </w:tcPr>
          <w:p>
            <w:r>
              <w:rPr>
                <w:rFonts w:ascii="Calibri" w:hAnsi="Calibri"/>
                <w:b w:val="0"/>
                <w:i w:val="0"/>
                <w:sz w:val="19"/>
              </w:rPr>
              <w:t>PM / Risk Lead</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20</w:t>
            </w:r>
          </w:p>
        </w:tc>
        <w:tc>
          <w:tcPr>
            <w:tcW w:type="dxa" w:w="4608"/>
          </w:tcPr>
          <w:p>
            <w:r>
              <w:rPr>
                <w:rFonts w:ascii="Calibri" w:hAnsi="Calibri"/>
                <w:b w:val="0"/>
                <w:i w:val="0"/>
                <w:sz w:val="19"/>
              </w:rPr>
              <w:t>20-pilot-success-scorecard.docx</w:t>
            </w:r>
          </w:p>
        </w:tc>
        <w:tc>
          <w:tcPr>
            <w:tcW w:type="dxa" w:w="5040"/>
          </w:tcPr>
          <w:p>
            <w:r>
              <w:rPr>
                <w:rFonts w:ascii="Calibri" w:hAnsi="Calibri"/>
                <w:b w:val="0"/>
                <w:i w:val="0"/>
                <w:sz w:val="19"/>
              </w:rPr>
              <w:t>KPI scorecard for pilot evaluation</w:t>
            </w:r>
          </w:p>
        </w:tc>
        <w:tc>
          <w:tcPr>
            <w:tcW w:type="dxa" w:w="2880"/>
          </w:tcPr>
          <w:p>
            <w:r>
              <w:rPr>
                <w:rFonts w:ascii="Calibri" w:hAnsi="Calibri"/>
                <w:b w:val="0"/>
                <w:i w:val="0"/>
                <w:sz w:val="19"/>
              </w:rPr>
              <w:t>Steering Comm.</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21</w:t>
            </w:r>
          </w:p>
        </w:tc>
        <w:tc>
          <w:tcPr>
            <w:tcW w:type="dxa" w:w="4608"/>
            <w:shd w:val="clear" w:color="auto" w:fill="EFF6FF"/>
          </w:tcPr>
          <w:p>
            <w:r>
              <w:rPr>
                <w:rFonts w:ascii="Calibri" w:hAnsi="Calibri"/>
                <w:b w:val="0"/>
                <w:i w:val="0"/>
                <w:sz w:val="19"/>
              </w:rPr>
              <w:t>21-pilot-to-scale-framework.docx</w:t>
            </w:r>
          </w:p>
        </w:tc>
        <w:tc>
          <w:tcPr>
            <w:tcW w:type="dxa" w:w="5040"/>
            <w:shd w:val="clear" w:color="auto" w:fill="EFF6FF"/>
          </w:tcPr>
          <w:p>
            <w:r>
              <w:rPr>
                <w:rFonts w:ascii="Calibri" w:hAnsi="Calibri"/>
                <w:b w:val="0"/>
                <w:i w:val="0"/>
                <w:sz w:val="19"/>
              </w:rPr>
              <w:t>Decision framework: pilot → scale</w:t>
            </w:r>
          </w:p>
        </w:tc>
        <w:tc>
          <w:tcPr>
            <w:tcW w:type="dxa" w:w="2880"/>
            <w:shd w:val="clear" w:color="auto" w:fill="EFF6FF"/>
          </w:tcPr>
          <w:p>
            <w:r>
              <w:rPr>
                <w:rFonts w:ascii="Calibri" w:hAnsi="Calibri"/>
                <w:b w:val="0"/>
                <w:i w:val="0"/>
                <w:sz w:val="19"/>
              </w:rPr>
              <w:t>Executive Sponsor</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22</w:t>
            </w:r>
          </w:p>
        </w:tc>
        <w:tc>
          <w:tcPr>
            <w:tcW w:type="dxa" w:w="4608"/>
          </w:tcPr>
          <w:p>
            <w:r>
              <w:rPr>
                <w:rFonts w:ascii="Calibri" w:hAnsi="Calibri"/>
                <w:b w:val="0"/>
                <w:i w:val="0"/>
                <w:sz w:val="19"/>
              </w:rPr>
              <w:t>22-scale-proposal-deck.pptx</w:t>
            </w:r>
          </w:p>
        </w:tc>
        <w:tc>
          <w:tcPr>
            <w:tcW w:type="dxa" w:w="5040"/>
          </w:tcPr>
          <w:p>
            <w:r>
              <w:rPr>
                <w:rFonts w:ascii="Calibri" w:hAnsi="Calibri"/>
                <w:b w:val="0"/>
                <w:i w:val="0"/>
                <w:sz w:val="19"/>
              </w:rPr>
              <w:t>Scale investment proposal deck</w:t>
            </w:r>
          </w:p>
        </w:tc>
        <w:tc>
          <w:tcPr>
            <w:tcW w:type="dxa" w:w="2880"/>
          </w:tcPr>
          <w:p>
            <w:r>
              <w:rPr>
                <w:rFonts w:ascii="Calibri" w:hAnsi="Calibri"/>
                <w:b w:val="0"/>
                <w:i w:val="0"/>
                <w:sz w:val="19"/>
              </w:rPr>
              <w:t>C-Suite</w:t>
            </w:r>
          </w:p>
        </w:tc>
        <w:tc>
          <w:tcPr>
            <w:tcW w:type="dxa" w:w="1152"/>
          </w:tcPr>
          <w:p>
            <w:r>
              <w:rPr>
                <w:rFonts w:ascii="Calibri" w:hAnsi="Calibri"/>
                <w:b w:val="0"/>
                <w:i w:val="0"/>
                <w:sz w:val="19"/>
              </w:rPr>
              <w:t>PPTX</w:t>
            </w:r>
          </w:p>
        </w:tc>
      </w:tr>
    </w:tbl>
    <w:p/>
    <w:p>
      <w:r>
        <w:br w:type="page"/>
      </w:r>
    </w:p>
    <w:p>
      <w:pPr>
        <w:spacing w:before="280" w:after="80"/>
      </w:pPr>
      <w:r>
        <w:rPr>
          <w:rFonts w:ascii="Calibri" w:hAnsi="Calibri"/>
          <w:b/>
          <w:i w:val="0"/>
          <w:color w:val="0F2D5E"/>
          <w:sz w:val="32"/>
        </w:rPr>
        <w:t>SET 3 — Scale Implementation Pack</w:t>
      </w:r>
    </w:p>
    <w:p>
      <w:pPr>
        <w:spacing w:after="80"/>
      </w:pPr>
      <w:r>
        <w:rPr>
          <w:rFonts w:ascii="Calibri" w:hAnsi="Calibri"/>
          <w:b w:val="0"/>
          <w:i/>
          <w:sz w:val="21"/>
        </w:rPr>
        <w:t>Purpose: Govern, configure, train, and sustain enterprise-wide AI PDLC transformation.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720"/>
            <w:shd w:val="clear" w:color="auto" w:fill="0F2D5E"/>
          </w:tcPr>
          <w:p>
            <w:pPr>
              <w:jc w:val="center"/>
            </w:pPr>
            <w:r>
              <w:rPr>
                <w:rFonts w:ascii="Calibri" w:hAnsi="Calibri"/>
                <w:b/>
                <w:i w:val="0"/>
                <w:color w:val="FFFFFF"/>
                <w:sz w:val="19"/>
              </w:rPr>
              <w:t>Doc</w:t>
            </w:r>
          </w:p>
        </w:tc>
        <w:tc>
          <w:tcPr>
            <w:tcW w:type="dxa" w:w="5040"/>
            <w:shd w:val="clear" w:color="auto" w:fill="0F2D5E"/>
          </w:tcPr>
          <w:p>
            <w:pPr>
              <w:jc w:val="center"/>
            </w:pPr>
            <w:r>
              <w:rPr>
                <w:rFonts w:ascii="Calibri" w:hAnsi="Calibri"/>
                <w:b/>
                <w:i w:val="0"/>
                <w:color w:val="FFFFFF"/>
                <w:sz w:val="19"/>
              </w:rPr>
              <w:t>File</w:t>
            </w:r>
          </w:p>
        </w:tc>
        <w:tc>
          <w:tcPr>
            <w:tcW w:type="dxa" w:w="4608"/>
            <w:shd w:val="clear" w:color="auto" w:fill="0F2D5E"/>
          </w:tcPr>
          <w:p>
            <w:pPr>
              <w:jc w:val="center"/>
            </w:pPr>
            <w:r>
              <w:rPr>
                <w:rFonts w:ascii="Calibri" w:hAnsi="Calibri"/>
                <w:b/>
                <w:i w:val="0"/>
                <w:color w:val="FFFFFF"/>
                <w:sz w:val="19"/>
              </w:rPr>
              <w:t>Purpose</w:t>
            </w:r>
          </w:p>
        </w:tc>
        <w:tc>
          <w:tcPr>
            <w:tcW w:type="dxa" w:w="2880"/>
            <w:shd w:val="clear" w:color="auto" w:fill="0F2D5E"/>
          </w:tcPr>
          <w:p>
            <w:pPr>
              <w:jc w:val="center"/>
            </w:pPr>
            <w:r>
              <w:rPr>
                <w:rFonts w:ascii="Calibri" w:hAnsi="Calibri"/>
                <w:b/>
                <w:i w:val="0"/>
                <w:color w:val="FFFFFF"/>
                <w:sz w:val="19"/>
              </w:rPr>
              <w:t>Audience</w:t>
            </w:r>
          </w:p>
        </w:tc>
        <w:tc>
          <w:tcPr>
            <w:tcW w:type="dxa" w:w="1152"/>
            <w:shd w:val="clear" w:color="auto" w:fill="0F2D5E"/>
          </w:tcPr>
          <w:p>
            <w:pPr>
              <w:jc w:val="center"/>
            </w:pPr>
            <w:r>
              <w:rPr>
                <w:rFonts w:ascii="Calibri" w:hAnsi="Calibri"/>
                <w:b/>
                <w:i w:val="0"/>
                <w:color w:val="FFFFFF"/>
                <w:sz w:val="19"/>
              </w:rPr>
              <w:t>Format</w:t>
            </w:r>
          </w:p>
        </w:tc>
      </w:tr>
      <w:tr>
        <w:tc>
          <w:tcPr>
            <w:tcW w:type="dxa" w:w="720"/>
            <w:shd w:val="clear" w:color="auto" w:fill="EFF6FF"/>
          </w:tcPr>
          <w:p>
            <w:r>
              <w:rPr>
                <w:rFonts w:ascii="Calibri" w:hAnsi="Calibri"/>
                <w:b w:val="0"/>
                <w:i w:val="0"/>
                <w:sz w:val="19"/>
              </w:rPr>
              <w:t>23</w:t>
            </w:r>
          </w:p>
        </w:tc>
        <w:tc>
          <w:tcPr>
            <w:tcW w:type="dxa" w:w="5040"/>
            <w:shd w:val="clear" w:color="auto" w:fill="EFF6FF"/>
          </w:tcPr>
          <w:p>
            <w:r>
              <w:rPr>
                <w:rFonts w:ascii="Calibri" w:hAnsi="Calibri"/>
                <w:b w:val="0"/>
                <w:i w:val="0"/>
                <w:sz w:val="19"/>
              </w:rPr>
              <w:t>23-platform-methodology-guide.docx</w:t>
            </w:r>
          </w:p>
        </w:tc>
        <w:tc>
          <w:tcPr>
            <w:tcW w:type="dxa" w:w="4608"/>
            <w:shd w:val="clear" w:color="auto" w:fill="EFF6FF"/>
          </w:tcPr>
          <w:p>
            <w:r>
              <w:rPr>
                <w:rFonts w:ascii="Calibri" w:hAnsi="Calibri"/>
                <w:b w:val="0"/>
                <w:i w:val="0"/>
                <w:sz w:val="19"/>
              </w:rPr>
              <w:t>3-phase consulting methodology</w:t>
            </w:r>
          </w:p>
        </w:tc>
        <w:tc>
          <w:tcPr>
            <w:tcW w:type="dxa" w:w="2880"/>
            <w:shd w:val="clear" w:color="auto" w:fill="EFF6FF"/>
          </w:tcPr>
          <w:p>
            <w:r>
              <w:rPr>
                <w:rFonts w:ascii="Calibri" w:hAnsi="Calibri"/>
                <w:b w:val="0"/>
                <w:i w:val="0"/>
                <w:sz w:val="19"/>
              </w:rPr>
              <w:t>Delivery Team</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24</w:t>
            </w:r>
          </w:p>
        </w:tc>
        <w:tc>
          <w:tcPr>
            <w:tcW w:type="dxa" w:w="5040"/>
          </w:tcPr>
          <w:p>
            <w:r>
              <w:rPr>
                <w:rFonts w:ascii="Calibri" w:hAnsi="Calibri"/>
                <w:b w:val="0"/>
                <w:i w:val="0"/>
                <w:sz w:val="19"/>
              </w:rPr>
              <w:t>24-governance-model.docx</w:t>
            </w:r>
          </w:p>
        </w:tc>
        <w:tc>
          <w:tcPr>
            <w:tcW w:type="dxa" w:w="4608"/>
          </w:tcPr>
          <w:p>
            <w:r>
              <w:rPr>
                <w:rFonts w:ascii="Calibri" w:hAnsi="Calibri"/>
                <w:b w:val="0"/>
                <w:i w:val="0"/>
                <w:sz w:val="19"/>
              </w:rPr>
              <w:t>Governance tiers &amp; decision rights by option</w:t>
            </w:r>
          </w:p>
        </w:tc>
        <w:tc>
          <w:tcPr>
            <w:tcW w:type="dxa" w:w="2880"/>
          </w:tcPr>
          <w:p>
            <w:r>
              <w:rPr>
                <w:rFonts w:ascii="Calibri" w:hAnsi="Calibri"/>
                <w:b w:val="0"/>
                <w:i w:val="0"/>
                <w:sz w:val="19"/>
              </w:rPr>
              <w:t>Exec / Programme</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25</w:t>
            </w:r>
          </w:p>
        </w:tc>
        <w:tc>
          <w:tcPr>
            <w:tcW w:type="dxa" w:w="5040"/>
            <w:shd w:val="clear" w:color="auto" w:fill="EFF6FF"/>
          </w:tcPr>
          <w:p>
            <w:r>
              <w:rPr>
                <w:rFonts w:ascii="Calibri" w:hAnsi="Calibri"/>
                <w:b w:val="0"/>
                <w:i w:val="0"/>
                <w:sz w:val="19"/>
              </w:rPr>
              <w:t>25-change-management-plan.docx</w:t>
            </w:r>
          </w:p>
        </w:tc>
        <w:tc>
          <w:tcPr>
            <w:tcW w:type="dxa" w:w="4608"/>
            <w:shd w:val="clear" w:color="auto" w:fill="EFF6FF"/>
          </w:tcPr>
          <w:p>
            <w:r>
              <w:rPr>
                <w:rFonts w:ascii="Calibri" w:hAnsi="Calibri"/>
                <w:b w:val="0"/>
                <w:i w:val="0"/>
                <w:sz w:val="19"/>
              </w:rPr>
              <w:t>People &amp; adoption strategy by option</w:t>
            </w:r>
          </w:p>
        </w:tc>
        <w:tc>
          <w:tcPr>
            <w:tcW w:type="dxa" w:w="2880"/>
            <w:shd w:val="clear" w:color="auto" w:fill="EFF6FF"/>
          </w:tcPr>
          <w:p>
            <w:r>
              <w:rPr>
                <w:rFonts w:ascii="Calibri" w:hAnsi="Calibri"/>
                <w:b w:val="0"/>
                <w:i w:val="0"/>
                <w:sz w:val="19"/>
              </w:rPr>
              <w:t>HR / Change Lead</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26</w:t>
            </w:r>
          </w:p>
        </w:tc>
        <w:tc>
          <w:tcPr>
            <w:tcW w:type="dxa" w:w="5040"/>
          </w:tcPr>
          <w:p>
            <w:r>
              <w:rPr>
                <w:rFonts w:ascii="Calibri" w:hAnsi="Calibri"/>
                <w:b w:val="0"/>
                <w:i w:val="0"/>
                <w:sz w:val="19"/>
              </w:rPr>
              <w:t>26-platform-configuration-playbook.docx</w:t>
            </w:r>
          </w:p>
        </w:tc>
        <w:tc>
          <w:tcPr>
            <w:tcW w:type="dxa" w:w="4608"/>
          </w:tcPr>
          <w:p>
            <w:r>
              <w:rPr>
                <w:rFonts w:ascii="Calibri" w:hAnsi="Calibri"/>
                <w:b w:val="0"/>
                <w:i w:val="0"/>
                <w:sz w:val="19"/>
              </w:rPr>
              <w:t>Platform setup guide by option</w:t>
            </w:r>
          </w:p>
        </w:tc>
        <w:tc>
          <w:tcPr>
            <w:tcW w:type="dxa" w:w="2880"/>
          </w:tcPr>
          <w:p>
            <w:r>
              <w:rPr>
                <w:rFonts w:ascii="Calibri" w:hAnsi="Calibri"/>
                <w:b w:val="0"/>
                <w:i w:val="0"/>
                <w:sz w:val="19"/>
              </w:rPr>
              <w:t>Platform Engineer</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27</w:t>
            </w:r>
          </w:p>
        </w:tc>
        <w:tc>
          <w:tcPr>
            <w:tcW w:type="dxa" w:w="5040"/>
            <w:shd w:val="clear" w:color="auto" w:fill="EFF6FF"/>
          </w:tcPr>
          <w:p>
            <w:r>
              <w:rPr>
                <w:rFonts w:ascii="Calibri" w:hAnsi="Calibri"/>
                <w:b w:val="0"/>
                <w:i w:val="0"/>
                <w:sz w:val="19"/>
              </w:rPr>
              <w:t>27-integration-architecture-guide.docx</w:t>
            </w:r>
          </w:p>
        </w:tc>
        <w:tc>
          <w:tcPr>
            <w:tcW w:type="dxa" w:w="4608"/>
            <w:shd w:val="clear" w:color="auto" w:fill="EFF6FF"/>
          </w:tcPr>
          <w:p>
            <w:r>
              <w:rPr>
                <w:rFonts w:ascii="Calibri" w:hAnsi="Calibri"/>
                <w:b w:val="0"/>
                <w:i w:val="0"/>
                <w:sz w:val="19"/>
              </w:rPr>
              <w:t>System connectivity &amp; security</w:t>
            </w:r>
          </w:p>
        </w:tc>
        <w:tc>
          <w:tcPr>
            <w:tcW w:type="dxa" w:w="2880"/>
            <w:shd w:val="clear" w:color="auto" w:fill="EFF6FF"/>
          </w:tcPr>
          <w:p>
            <w:r>
              <w:rPr>
                <w:rFonts w:ascii="Calibri" w:hAnsi="Calibri"/>
                <w:b w:val="0"/>
                <w:i w:val="0"/>
                <w:sz w:val="19"/>
              </w:rPr>
              <w:t>CTO / IT Director</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28</w:t>
            </w:r>
          </w:p>
        </w:tc>
        <w:tc>
          <w:tcPr>
            <w:tcW w:type="dxa" w:w="5040"/>
          </w:tcPr>
          <w:p>
            <w:r>
              <w:rPr>
                <w:rFonts w:ascii="Calibri" w:hAnsi="Calibri"/>
                <w:b w:val="0"/>
                <w:i w:val="0"/>
                <w:sz w:val="19"/>
              </w:rPr>
              <w:t>28-scale-training-curriculum.docx</w:t>
            </w:r>
          </w:p>
        </w:tc>
        <w:tc>
          <w:tcPr>
            <w:tcW w:type="dxa" w:w="4608"/>
          </w:tcPr>
          <w:p>
            <w:r>
              <w:rPr>
                <w:rFonts w:ascii="Calibri" w:hAnsi="Calibri"/>
                <w:b w:val="0"/>
                <w:i w:val="0"/>
                <w:sz w:val="19"/>
              </w:rPr>
              <w:t>Role-based training by option</w:t>
            </w:r>
          </w:p>
        </w:tc>
        <w:tc>
          <w:tcPr>
            <w:tcW w:type="dxa" w:w="2880"/>
          </w:tcPr>
          <w:p>
            <w:r>
              <w:rPr>
                <w:rFonts w:ascii="Calibri" w:hAnsi="Calibri"/>
                <w:b w:val="0"/>
                <w:i w:val="0"/>
                <w:sz w:val="19"/>
              </w:rPr>
              <w:t>L&amp;D / Champions</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29</w:t>
            </w:r>
          </w:p>
        </w:tc>
        <w:tc>
          <w:tcPr>
            <w:tcW w:type="dxa" w:w="5040"/>
            <w:shd w:val="clear" w:color="auto" w:fill="EFF6FF"/>
          </w:tcPr>
          <w:p>
            <w:r>
              <w:rPr>
                <w:rFonts w:ascii="Calibri" w:hAnsi="Calibri"/>
                <w:b w:val="0"/>
                <w:i w:val="0"/>
                <w:sz w:val="19"/>
              </w:rPr>
              <w:t>29-adoption-playbook.docx</w:t>
            </w:r>
          </w:p>
        </w:tc>
        <w:tc>
          <w:tcPr>
            <w:tcW w:type="dxa" w:w="4608"/>
            <w:shd w:val="clear" w:color="auto" w:fill="EFF6FF"/>
          </w:tcPr>
          <w:p>
            <w:r>
              <w:rPr>
                <w:rFonts w:ascii="Calibri" w:hAnsi="Calibri"/>
                <w:b w:val="0"/>
                <w:i w:val="0"/>
                <w:sz w:val="19"/>
              </w:rPr>
              <w:t>Sustained adoption programme</w:t>
            </w:r>
          </w:p>
        </w:tc>
        <w:tc>
          <w:tcPr>
            <w:tcW w:type="dxa" w:w="2880"/>
            <w:shd w:val="clear" w:color="auto" w:fill="EFF6FF"/>
          </w:tcPr>
          <w:p>
            <w:r>
              <w:rPr>
                <w:rFonts w:ascii="Calibri" w:hAnsi="Calibri"/>
                <w:b w:val="0"/>
                <w:i w:val="0"/>
                <w:sz w:val="19"/>
              </w:rPr>
              <w:t>Champions / PM</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30</w:t>
            </w:r>
          </w:p>
        </w:tc>
        <w:tc>
          <w:tcPr>
            <w:tcW w:type="dxa" w:w="5040"/>
          </w:tcPr>
          <w:p>
            <w:r>
              <w:rPr>
                <w:rFonts w:ascii="Calibri" w:hAnsi="Calibri"/>
                <w:b w:val="0"/>
                <w:i w:val="0"/>
                <w:sz w:val="19"/>
              </w:rPr>
              <w:t>30-qa-framework.docx</w:t>
            </w:r>
          </w:p>
        </w:tc>
        <w:tc>
          <w:tcPr>
            <w:tcW w:type="dxa" w:w="4608"/>
          </w:tcPr>
          <w:p>
            <w:r>
              <w:rPr>
                <w:rFonts w:ascii="Calibri" w:hAnsi="Calibri"/>
                <w:b w:val="0"/>
                <w:i w:val="0"/>
                <w:sz w:val="19"/>
              </w:rPr>
              <w:t>Quality assurance across delivery &amp; AI</w:t>
            </w:r>
          </w:p>
        </w:tc>
        <w:tc>
          <w:tcPr>
            <w:tcW w:type="dxa" w:w="2880"/>
          </w:tcPr>
          <w:p>
            <w:r>
              <w:rPr>
                <w:rFonts w:ascii="Calibri" w:hAnsi="Calibri"/>
                <w:b w:val="0"/>
                <w:i w:val="0"/>
                <w:sz w:val="19"/>
              </w:rPr>
              <w:t>QA Lead</w:t>
            </w:r>
          </w:p>
        </w:tc>
        <w:tc>
          <w:tcPr>
            <w:tcW w:type="dxa" w:w="1152"/>
          </w:tcPr>
          <w:p>
            <w:r>
              <w:rPr>
                <w:rFonts w:ascii="Calibri" w:hAnsi="Calibri"/>
                <w:b w:val="0"/>
                <w:i w:val="0"/>
                <w:sz w:val="19"/>
              </w:rPr>
              <w:t>DOCX</w:t>
            </w:r>
          </w:p>
        </w:tc>
      </w:tr>
      <w:tr>
        <w:tc>
          <w:tcPr>
            <w:tcW w:type="dxa" w:w="720"/>
            <w:shd w:val="clear" w:color="auto" w:fill="EFF6FF"/>
          </w:tcPr>
          <w:p>
            <w:r>
              <w:rPr>
                <w:rFonts w:ascii="Calibri" w:hAnsi="Calibri"/>
                <w:b w:val="0"/>
                <w:i w:val="0"/>
                <w:sz w:val="19"/>
              </w:rPr>
              <w:t>31</w:t>
            </w:r>
          </w:p>
        </w:tc>
        <w:tc>
          <w:tcPr>
            <w:tcW w:type="dxa" w:w="5040"/>
            <w:shd w:val="clear" w:color="auto" w:fill="EFF6FF"/>
          </w:tcPr>
          <w:p>
            <w:r>
              <w:rPr>
                <w:rFonts w:ascii="Calibri" w:hAnsi="Calibri"/>
                <w:b w:val="0"/>
                <w:i w:val="0"/>
                <w:sz w:val="19"/>
              </w:rPr>
              <w:t>31-benefits-tracker-template.docx</w:t>
            </w:r>
          </w:p>
        </w:tc>
        <w:tc>
          <w:tcPr>
            <w:tcW w:type="dxa" w:w="4608"/>
            <w:shd w:val="clear" w:color="auto" w:fill="EFF6FF"/>
          </w:tcPr>
          <w:p>
            <w:r>
              <w:rPr>
                <w:rFonts w:ascii="Calibri" w:hAnsi="Calibri"/>
                <w:b w:val="0"/>
                <w:i w:val="0"/>
                <w:sz w:val="19"/>
              </w:rPr>
              <w:t>Benefits measurement template by option</w:t>
            </w:r>
          </w:p>
        </w:tc>
        <w:tc>
          <w:tcPr>
            <w:tcW w:type="dxa" w:w="2880"/>
            <w:shd w:val="clear" w:color="auto" w:fill="EFF6FF"/>
          </w:tcPr>
          <w:p>
            <w:r>
              <w:rPr>
                <w:rFonts w:ascii="Calibri" w:hAnsi="Calibri"/>
                <w:b w:val="0"/>
                <w:i w:val="0"/>
                <w:sz w:val="19"/>
              </w:rPr>
              <w:t>Finance / Exec</w:t>
            </w:r>
          </w:p>
        </w:tc>
        <w:tc>
          <w:tcPr>
            <w:tcW w:type="dxa" w:w="1152"/>
            <w:shd w:val="clear" w:color="auto" w:fill="EFF6FF"/>
          </w:tcPr>
          <w:p>
            <w:r>
              <w:rPr>
                <w:rFonts w:ascii="Calibri" w:hAnsi="Calibri"/>
                <w:b w:val="0"/>
                <w:i w:val="0"/>
                <w:sz w:val="19"/>
              </w:rPr>
              <w:t>DOCX</w:t>
            </w:r>
          </w:p>
        </w:tc>
      </w:tr>
      <w:tr>
        <w:tc>
          <w:tcPr>
            <w:tcW w:type="dxa" w:w="720"/>
          </w:tcPr>
          <w:p>
            <w:r>
              <w:rPr>
                <w:rFonts w:ascii="Calibri" w:hAnsi="Calibri"/>
                <w:b w:val="0"/>
                <w:i w:val="0"/>
                <w:sz w:val="19"/>
              </w:rPr>
              <w:t>32</w:t>
            </w:r>
          </w:p>
        </w:tc>
        <w:tc>
          <w:tcPr>
            <w:tcW w:type="dxa" w:w="5040"/>
          </w:tcPr>
          <w:p>
            <w:r>
              <w:rPr>
                <w:rFonts w:ascii="Calibri" w:hAnsi="Calibri"/>
                <w:b w:val="0"/>
                <w:i w:val="0"/>
                <w:sz w:val="19"/>
              </w:rPr>
              <w:t>32-enterprise-scaling-playbook.pptx</w:t>
            </w:r>
          </w:p>
        </w:tc>
        <w:tc>
          <w:tcPr>
            <w:tcW w:type="dxa" w:w="4608"/>
          </w:tcPr>
          <w:p>
            <w:r>
              <w:rPr>
                <w:rFonts w:ascii="Calibri" w:hAnsi="Calibri"/>
                <w:b w:val="0"/>
                <w:i w:val="0"/>
                <w:sz w:val="19"/>
              </w:rPr>
              <w:t>3-wave enterprise scaling model</w:t>
            </w:r>
          </w:p>
        </w:tc>
        <w:tc>
          <w:tcPr>
            <w:tcW w:type="dxa" w:w="2880"/>
          </w:tcPr>
          <w:p>
            <w:r>
              <w:rPr>
                <w:rFonts w:ascii="Calibri" w:hAnsi="Calibri"/>
                <w:b w:val="0"/>
                <w:i w:val="0"/>
                <w:sz w:val="19"/>
              </w:rPr>
              <w:t>Executive Sponsor</w:t>
            </w:r>
          </w:p>
        </w:tc>
        <w:tc>
          <w:tcPr>
            <w:tcW w:type="dxa" w:w="1152"/>
          </w:tcPr>
          <w:p>
            <w:r>
              <w:rPr>
                <w:rFonts w:ascii="Calibri" w:hAnsi="Calibri"/>
                <w:b w:val="0"/>
                <w:i w:val="0"/>
                <w:sz w:val="19"/>
              </w:rPr>
              <w:t>PPTX</w:t>
            </w:r>
          </w:p>
        </w:tc>
      </w:tr>
      <w:tr>
        <w:tc>
          <w:tcPr>
            <w:tcW w:type="dxa" w:w="720"/>
            <w:shd w:val="clear" w:color="auto" w:fill="EFF6FF"/>
          </w:tcPr>
          <w:p>
            <w:r>
              <w:rPr>
                <w:rFonts w:ascii="Calibri" w:hAnsi="Calibri"/>
                <w:b w:val="0"/>
                <w:i w:val="0"/>
                <w:sz w:val="19"/>
              </w:rPr>
              <w:t>33</w:t>
            </w:r>
          </w:p>
        </w:tc>
        <w:tc>
          <w:tcPr>
            <w:tcW w:type="dxa" w:w="5040"/>
            <w:shd w:val="clear" w:color="auto" w:fill="EFF6FF"/>
          </w:tcPr>
          <w:p>
            <w:r>
              <w:rPr>
                <w:rFonts w:ascii="Calibri" w:hAnsi="Calibri"/>
                <w:b w:val="0"/>
                <w:i w:val="0"/>
                <w:sz w:val="19"/>
              </w:rPr>
              <w:t>33-elt-executive-dashboard-briefing.pptx</w:t>
            </w:r>
          </w:p>
        </w:tc>
        <w:tc>
          <w:tcPr>
            <w:tcW w:type="dxa" w:w="4608"/>
            <w:shd w:val="clear" w:color="auto" w:fill="EFF6FF"/>
          </w:tcPr>
          <w:p>
            <w:r>
              <w:rPr>
                <w:rFonts w:ascii="Calibri" w:hAnsi="Calibri"/>
                <w:b w:val="0"/>
                <w:i w:val="0"/>
                <w:sz w:val="19"/>
              </w:rPr>
              <w:t>Monthly ELT dashboard deck</w:t>
            </w:r>
          </w:p>
        </w:tc>
        <w:tc>
          <w:tcPr>
            <w:tcW w:type="dxa" w:w="2880"/>
            <w:shd w:val="clear" w:color="auto" w:fill="EFF6FF"/>
          </w:tcPr>
          <w:p>
            <w:r>
              <w:rPr>
                <w:rFonts w:ascii="Calibri" w:hAnsi="Calibri"/>
                <w:b w:val="0"/>
                <w:i w:val="0"/>
                <w:sz w:val="19"/>
              </w:rPr>
              <w:t>C-Suite</w:t>
            </w:r>
          </w:p>
        </w:tc>
        <w:tc>
          <w:tcPr>
            <w:tcW w:type="dxa" w:w="1152"/>
            <w:shd w:val="clear" w:color="auto" w:fill="EFF6FF"/>
          </w:tcPr>
          <w:p>
            <w:r>
              <w:rPr>
                <w:rFonts w:ascii="Calibri" w:hAnsi="Calibri"/>
                <w:b w:val="0"/>
                <w:i w:val="0"/>
                <w:sz w:val="19"/>
              </w:rPr>
              <w:t>PPTX</w:t>
            </w:r>
          </w:p>
        </w:tc>
      </w:tr>
      <w:tr>
        <w:tc>
          <w:tcPr>
            <w:tcW w:type="dxa" w:w="720"/>
          </w:tcPr>
          <w:p>
            <w:r>
              <w:rPr>
                <w:rFonts w:ascii="Calibri" w:hAnsi="Calibri"/>
                <w:b w:val="0"/>
                <w:i w:val="0"/>
                <w:sz w:val="19"/>
              </w:rPr>
              <w:t>34</w:t>
            </w:r>
          </w:p>
        </w:tc>
        <w:tc>
          <w:tcPr>
            <w:tcW w:type="dxa" w:w="5040"/>
          </w:tcPr>
          <w:p>
            <w:r>
              <w:rPr>
                <w:rFonts w:ascii="Calibri" w:hAnsi="Calibri"/>
                <w:b w:val="0"/>
                <w:i w:val="0"/>
                <w:sz w:val="19"/>
              </w:rPr>
              <w:t>34-annual-roi-review-deck.pptx</w:t>
            </w:r>
          </w:p>
        </w:tc>
        <w:tc>
          <w:tcPr>
            <w:tcW w:type="dxa" w:w="4608"/>
          </w:tcPr>
          <w:p>
            <w:r>
              <w:rPr>
                <w:rFonts w:ascii="Calibri" w:hAnsi="Calibri"/>
                <w:b w:val="0"/>
                <w:i w:val="0"/>
                <w:sz w:val="19"/>
              </w:rPr>
              <w:t>Annual ROI review &amp; Year 2 decision</w:t>
            </w:r>
          </w:p>
        </w:tc>
        <w:tc>
          <w:tcPr>
            <w:tcW w:type="dxa" w:w="2880"/>
          </w:tcPr>
          <w:p>
            <w:r>
              <w:rPr>
                <w:rFonts w:ascii="Calibri" w:hAnsi="Calibri"/>
                <w:b w:val="0"/>
                <w:i w:val="0"/>
                <w:sz w:val="19"/>
              </w:rPr>
              <w:t>C-Suite / CFO</w:t>
            </w:r>
          </w:p>
        </w:tc>
        <w:tc>
          <w:tcPr>
            <w:tcW w:type="dxa" w:w="1152"/>
          </w:tcPr>
          <w:p>
            <w:r>
              <w:rPr>
                <w:rFonts w:ascii="Calibri" w:hAnsi="Calibri"/>
                <w:b w:val="0"/>
                <w:i w:val="0"/>
                <w:sz w:val="19"/>
              </w:rPr>
              <w:t>PPTX</w:t>
            </w:r>
          </w:p>
        </w:tc>
      </w:tr>
      <w:tr>
        <w:tc>
          <w:tcPr>
            <w:tcW w:type="dxa" w:w="720"/>
            <w:shd w:val="clear" w:color="auto" w:fill="EFF6FF"/>
          </w:tcPr>
          <w:p>
            <w:r>
              <w:rPr>
                <w:rFonts w:ascii="Calibri" w:hAnsi="Calibri"/>
                <w:b w:val="0"/>
                <w:i w:val="0"/>
                <w:sz w:val="19"/>
              </w:rPr>
              <w:t>35</w:t>
            </w:r>
          </w:p>
        </w:tc>
        <w:tc>
          <w:tcPr>
            <w:tcW w:type="dxa" w:w="5040"/>
            <w:shd w:val="clear" w:color="auto" w:fill="EFF6FF"/>
          </w:tcPr>
          <w:p>
            <w:r>
              <w:rPr>
                <w:rFonts w:ascii="Calibri" w:hAnsi="Calibri"/>
                <w:b w:val="0"/>
                <w:i w:val="0"/>
                <w:sz w:val="19"/>
              </w:rPr>
              <w:t>35-competitive-differentiation-briefing.docx</w:t>
            </w:r>
          </w:p>
        </w:tc>
        <w:tc>
          <w:tcPr>
            <w:tcW w:type="dxa" w:w="4608"/>
            <w:shd w:val="clear" w:color="auto" w:fill="EFF6FF"/>
          </w:tcPr>
          <w:p>
            <w:r>
              <w:rPr>
                <w:rFonts w:ascii="Calibri" w:hAnsi="Calibri"/>
                <w:b w:val="0"/>
                <w:i w:val="0"/>
                <w:sz w:val="19"/>
              </w:rPr>
              <w:t>Battlecard &amp; win themes</w:t>
            </w:r>
          </w:p>
        </w:tc>
        <w:tc>
          <w:tcPr>
            <w:tcW w:type="dxa" w:w="2880"/>
            <w:shd w:val="clear" w:color="auto" w:fill="EFF6FF"/>
          </w:tcPr>
          <w:p>
            <w:r>
              <w:rPr>
                <w:rFonts w:ascii="Calibri" w:hAnsi="Calibri"/>
                <w:b w:val="0"/>
                <w:i w:val="0"/>
                <w:sz w:val="19"/>
              </w:rPr>
              <w:t>Sales / Consulting</w:t>
            </w:r>
          </w:p>
        </w:tc>
        <w:tc>
          <w:tcPr>
            <w:tcW w:type="dxa" w:w="1152"/>
            <w:shd w:val="clear" w:color="auto" w:fill="EFF6FF"/>
          </w:tcPr>
          <w:p>
            <w:r>
              <w:rPr>
                <w:rFonts w:ascii="Calibri" w:hAnsi="Calibri"/>
                <w:b w:val="0"/>
                <w:i w:val="0"/>
                <w:sz w:val="19"/>
              </w:rPr>
              <w:t>DOCX</w:t>
            </w:r>
          </w:p>
        </w:tc>
      </w:tr>
    </w:tbl>
    <w:p/>
    <w:p>
      <w:r>
        <w:br w:type="page"/>
      </w:r>
    </w:p>
    <w:p>
      <w:pPr>
        <w:spacing w:before="280" w:after="80"/>
      </w:pPr>
      <w:r>
        <w:rPr>
          <w:rFonts w:ascii="Calibri" w:hAnsi="Calibri"/>
          <w:b/>
          <w:i w:val="0"/>
          <w:color w:val="0F2D5E"/>
          <w:sz w:val="32"/>
        </w:rPr>
        <w:t>The Consulting Offering in One Paragraph</w:t>
      </w:r>
    </w:p>
    <w:p>
      <w:pPr>
        <w:spacing w:before="120" w:after="120"/>
        <w:ind w:left="480" w:right="480"/>
        <w:shd w:val="clear" w:color="auto" w:fill="EFF6FF"/>
      </w:pPr>
      <w:r>
        <w:rPr>
          <w:rFonts w:ascii="Calibri" w:hAnsi="Calibri"/>
          <w:b w:val="0"/>
          <w:i/>
          <w:color w:val="0F2D5E"/>
          <w:sz w:val="21"/>
        </w:rPr>
        <w:t>AI-Powered PDLC Transformation is a consulting offering that diagnoses your current-state product development process using Value Stream Mapping, identifies where speed, productivity, and quality are constrained, and then designs and implements the right level of AI transformation — from AI-augmented tools (Option A) to AI agents with human gates (Option B) to fully autonomous AI operations (Option C). Every phase is delivered faster, more accurately, and at lower cost because the STUMP automates what would otherwise take months of manual analysis. Clients like US Bank achieved 4.2× ROI and a 42-day to 8-day lead time reduction within 14 months. The platform is not the product — the transformation is.</w:t>
      </w:r>
    </w:p>
    <w:p>
      <w:pPr>
        <w:spacing w:before="200" w:after="60"/>
      </w:pPr>
      <w:r>
        <w:rPr>
          <w:rFonts w:ascii="Calibri" w:hAnsi="Calibri"/>
          <w:b/>
          <w:i w:val="0"/>
          <w:color w:val="2563EB"/>
          <w:sz w:val="26"/>
        </w:rPr>
        <w:t>2026 refresh — what changed across the pack</w:t>
      </w:r>
    </w:p>
    <w:p>
      <w:pPr>
        <w:spacing w:after="80"/>
      </w:pPr>
      <w:r>
        <w:rPr>
          <w:rFonts w:ascii="Calibri" w:hAnsi="Calibri"/>
          <w:b w:val="0"/>
          <w:i w:val="0"/>
          <w:sz w:val="21"/>
        </w:rPr>
        <w:t>All three sets are aligned to the refreshed PDLC VSM platform:</w:t>
      </w:r>
    </w:p>
    <w:p>
      <w:pPr>
        <w:pStyle w:val="ListBullet"/>
        <w:spacing w:after="40"/>
      </w:pPr>
      <w:r>
        <w:rPr>
          <w:rFonts w:ascii="Calibri" w:hAnsi="Calibri"/>
          <w:b w:val="0"/>
          <w:i w:val="0"/>
          <w:sz w:val="21"/>
        </w:rPr>
        <w:t>Options A/B/C are now mapped onto the L1–L5 maturity ladder (A≈L2, B≈L3–L4, C≈L5 autonomous ADLC).</w:t>
      </w:r>
    </w:p>
    <w:p>
      <w:pPr>
        <w:pStyle w:val="ListBullet"/>
        <w:spacing w:after="40"/>
      </w:pPr>
      <w:r>
        <w:rPr>
          <w:rFonts w:ascii="Calibri" w:hAnsi="Calibri"/>
          <w:b w:val="0"/>
          <w:i w:val="0"/>
          <w:sz w:val="21"/>
        </w:rPr>
        <w:t>A Target State Studio defines the North-Star level and delivery platform (home-grown / COTS / Cognizant Flowsource), then auto-generates the interim roadmap.</w:t>
      </w:r>
    </w:p>
    <w:p>
      <w:pPr>
        <w:pStyle w:val="ListBullet"/>
        <w:spacing w:after="40"/>
      </w:pPr>
      <w:r>
        <w:rPr>
          <w:rFonts w:ascii="Calibri" w:hAnsi="Calibri"/>
          <w:b w:val="0"/>
          <w:i w:val="0"/>
          <w:sz w:val="21"/>
        </w:rPr>
        <w:t>The business case is a DORA J-Curve (cost-only): investment → tuition-cost dip → breakeven → compounding savings; ongoing cost is platform-aware and includes agent/token spend; feature revenue is excluded.</w:t>
      </w:r>
    </w:p>
    <w:p>
      <w:pPr>
        <w:pStyle w:val="ListBullet"/>
        <w:spacing w:after="40"/>
      </w:pPr>
      <w:r>
        <w:rPr>
          <w:rFonts w:ascii="Calibri" w:hAnsi="Calibri"/>
          <w:b w:val="0"/>
          <w:i w:val="0"/>
          <w:sz w:val="21"/>
        </w:rPr>
        <w:t>Outcomes are measured continuously on a three-perspective Outcome Dashboard: AI Adoption · PDLC Performance · AI Ops &amp; Assurance.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rPr>
      <w:rFonts w:ascii="Calibri" w:hAnsi="Calibri"/>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rPr>
      <w:rFonts w:ascii="Calibri" w:hAnsi="Calibri"/>
    </w:rPr>
  </w:style>
  <w:style w:type="table" w:default="1" w:styleId="TableNormal">
    <w:name w:val="Normal Table"/>
    <w:uiPriority w:val="99"/>
    <w:semiHidden/>
    <w:unhideWhenUsed/>
    <w:rPr>
      <w:rFonts w:ascii="Calibri" w:hAnsi="Calibri"/>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rPr>
      <w:rFonts w:ascii="Calibri" w:hAnsi="Calibri"/>
    </w:rPr>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rPr>
      <w:rFonts w:ascii="Calibri" w:hAnsi="Calibri"/>
    </w:rPr>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rFonts w:ascii="Calibri" w:hAnsi="Calibri"/>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alibri" w:hAnsi="Calibri"/>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rFonts w:ascii="Calibri" w:hAnsi="Calibri"/>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rFonts w:ascii="Calibri" w:hAnsi="Calibri"/>
      <w:b/>
      <w:bCs/>
    </w:rPr>
  </w:style>
  <w:style w:type="character" w:styleId="Emphasis">
    <w:name w:val="Emphasis"/>
    <w:basedOn w:val="DefaultParagraphFont"/>
    <w:uiPriority w:val="20"/>
    <w:qFormat/>
    <w:rsid w:val="00FC693F"/>
    <w:rPr>
      <w:rFonts w:ascii="Calibri" w:hAnsi="Calibri"/>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rFonts w:ascii="Calibri" w:hAnsi="Calibri"/>
      <w:b/>
      <w:bCs/>
      <w:i/>
      <w:iCs/>
      <w:color w:val="4F81BD" w:themeColor="accent1"/>
    </w:rPr>
  </w:style>
  <w:style w:type="character" w:styleId="SubtleEmphasis">
    <w:name w:val="Subtle Emphasis"/>
    <w:basedOn w:val="DefaultParagraphFont"/>
    <w:uiPriority w:val="19"/>
    <w:qFormat/>
    <w:rsid w:val="00FC693F"/>
    <w:rPr>
      <w:rFonts w:ascii="Calibri" w:hAnsi="Calibri"/>
      <w:i/>
      <w:iCs/>
      <w:color w:val="808080" w:themeColor="text1" w:themeTint="7F"/>
    </w:rPr>
  </w:style>
  <w:style w:type="character" w:styleId="IntenseEmphasis">
    <w:name w:val="Intense Emphasis"/>
    <w:basedOn w:val="DefaultParagraphFont"/>
    <w:uiPriority w:val="21"/>
    <w:qFormat/>
    <w:rsid w:val="00FC693F"/>
    <w:rPr>
      <w:rFonts w:ascii="Calibri" w:hAnsi="Calibri"/>
      <w:b/>
      <w:bCs/>
      <w:i/>
      <w:iCs/>
      <w:color w:val="4F81BD" w:themeColor="accent1"/>
    </w:rPr>
  </w:style>
  <w:style w:type="character" w:styleId="SubtleReference">
    <w:name w:val="Subtle Reference"/>
    <w:basedOn w:val="DefaultParagraphFont"/>
    <w:uiPriority w:val="31"/>
    <w:qFormat/>
    <w:rsid w:val="00FC693F"/>
    <w:rPr>
      <w:rFonts w:ascii="Calibri" w:hAnsi="Calibri"/>
      <w:smallCaps/>
      <w:color w:val="C0504D" w:themeColor="accent2"/>
      <w:u w:val="single"/>
    </w:rPr>
  </w:style>
  <w:style w:type="character" w:styleId="IntenseReference">
    <w:name w:val="Intense Reference"/>
    <w:basedOn w:val="DefaultParagraphFont"/>
    <w:uiPriority w:val="32"/>
    <w:qFormat/>
    <w:rsid w:val="00FC693F"/>
    <w:rPr>
      <w:rFonts w:ascii="Calibri" w:hAnsi="Calibri"/>
      <w:b/>
      <w:bCs/>
      <w:smallCaps/>
      <w:color w:val="C0504D" w:themeColor="accent2"/>
      <w:spacing w:val="5"/>
      <w:u w:val="single"/>
    </w:rPr>
  </w:style>
  <w:style w:type="character" w:styleId="BookTitle">
    <w:name w:val="Book Title"/>
    <w:basedOn w:val="DefaultParagraphFont"/>
    <w:uiPriority w:val="33"/>
    <w:qFormat/>
    <w:rsid w:val="00FC693F"/>
    <w:rPr>
      <w:rFonts w:ascii="Calibri" w:hAnsi="Calibri"/>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Calibri" w:hAnsi="Calibri"/>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Calibri" w:hAnsi="Calibr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