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b/>
          <w:i w:val="0"/>
          <w:color w:val="2563EB"/>
          <w:sz w:val="26"/>
        </w:rPr>
        <w:t>AI-Powered PDLC Transformation</w:t>
      </w:r>
    </w:p>
    <w:p/>
    <w:p>
      <w:r>
        <w:rPr>
          <w:rFonts w:ascii="Calibri" w:hAnsi="Calibri"/>
          <w:b/>
          <w:i w:val="0"/>
          <w:color w:val="0F2D5E"/>
          <w:sz w:val="44"/>
        </w:rPr>
        <w:t>AI-Powered PDLC Transformation</w:t>
        <w:br/>
        <w:t>Methodology Guide</w:t>
      </w:r>
    </w:p>
    <w:p/>
    <w:p>
      <w:r>
        <w:rPr>
          <w:rFonts w:ascii="Calibri" w:hAnsi="Calibri"/>
          <w:b w:val="0"/>
          <w:i/>
          <w:color w:val="1E408A"/>
          <w:sz w:val="24"/>
        </w:rPr>
        <w:t>Diagnose → Design → Deliver: A Three-Phase Consulting Methodology</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68"/>
            <w:shd w:val="clear" w:color="auto" w:fill="0F2D5E"/>
          </w:tcPr>
          <w:p>
            <w:pPr>
              <w:jc w:val="center"/>
            </w:pPr>
            <w:r>
              <w:rPr>
                <w:rFonts w:ascii="Calibri" w:hAnsi="Calibri"/>
                <w:b/>
                <w:i w:val="0"/>
                <w:color w:val="FFFFFF"/>
                <w:sz w:val="19"/>
              </w:rPr>
              <w:t>Document</w:t>
            </w:r>
          </w:p>
        </w:tc>
        <w:tc>
          <w:tcPr>
            <w:tcW w:type="dxa" w:w="1728"/>
            <w:shd w:val="clear" w:color="auto" w:fill="0F2D5E"/>
          </w:tcPr>
          <w:p>
            <w:pPr>
              <w:jc w:val="center"/>
            </w:pPr>
            <w:r>
              <w:rPr>
                <w:rFonts w:ascii="Calibri" w:hAnsi="Calibri"/>
                <w:b/>
                <w:i w:val="0"/>
                <w:color w:val="FFFFFF"/>
                <w:sz w:val="19"/>
              </w:rPr>
              <w:t>Version</w:t>
            </w:r>
          </w:p>
        </w:tc>
        <w:tc>
          <w:tcPr>
            <w:tcW w:type="dxa" w:w="2160"/>
            <w:shd w:val="clear" w:color="auto" w:fill="0F2D5E"/>
          </w:tcPr>
          <w:p>
            <w:pPr>
              <w:jc w:val="center"/>
            </w:pPr>
            <w:r>
              <w:rPr>
                <w:rFonts w:ascii="Calibri" w:hAnsi="Calibri"/>
                <w:b/>
                <w:i w:val="0"/>
                <w:color w:val="FFFFFF"/>
                <w:sz w:val="19"/>
              </w:rPr>
              <w:t>Date</w:t>
            </w:r>
          </w:p>
        </w:tc>
        <w:tc>
          <w:tcPr>
            <w:tcW w:type="dxa" w:w="2880"/>
            <w:shd w:val="clear" w:color="auto" w:fill="0F2D5E"/>
          </w:tcPr>
          <w:p>
            <w:pPr>
              <w:jc w:val="center"/>
            </w:pPr>
            <w:r>
              <w:rPr>
                <w:rFonts w:ascii="Calibri" w:hAnsi="Calibri"/>
                <w:b/>
                <w:i w:val="0"/>
                <w:color w:val="FFFFFF"/>
                <w:sz w:val="19"/>
              </w:rPr>
              <w:t>Classification</w:t>
            </w:r>
          </w:p>
        </w:tc>
      </w:tr>
      <w:tr>
        <w:tc>
          <w:tcPr>
            <w:tcW w:type="dxa" w:w="3168"/>
            <w:shd w:val="clear" w:color="auto" w:fill="EFF6FF"/>
          </w:tcPr>
          <w:p>
            <w:r>
              <w:rPr>
                <w:rFonts w:ascii="Calibri" w:hAnsi="Calibri"/>
                <w:b w:val="0"/>
                <w:i w:val="0"/>
                <w:sz w:val="19"/>
              </w:rPr>
              <w:t>Doc-23</w:t>
            </w:r>
          </w:p>
        </w:tc>
        <w:tc>
          <w:tcPr>
            <w:tcW w:type="dxa" w:w="1728"/>
            <w:shd w:val="clear" w:color="auto" w:fill="EFF6FF"/>
          </w:tcPr>
          <w:p>
            <w:r>
              <w:rPr>
                <w:rFonts w:ascii="Calibri" w:hAnsi="Calibri"/>
                <w:b w:val="0"/>
                <w:i w:val="0"/>
                <w:sz w:val="19"/>
              </w:rPr>
              <w:t>v2.0</w:t>
            </w:r>
          </w:p>
        </w:tc>
        <w:tc>
          <w:tcPr>
            <w:tcW w:type="dxa" w:w="2160"/>
            <w:shd w:val="clear" w:color="auto" w:fill="EFF6FF"/>
          </w:tcPr>
          <w:p>
            <w:r>
              <w:rPr>
                <w:rFonts w:ascii="Calibri" w:hAnsi="Calibri"/>
                <w:b w:val="0"/>
                <w:i w:val="0"/>
                <w:sz w:val="19"/>
              </w:rPr>
              <w:t>March 2026</w:t>
            </w:r>
          </w:p>
        </w:tc>
        <w:tc>
          <w:tcPr>
            <w:tcW w:type="dxa" w:w="2880"/>
            <w:shd w:val="clear" w:color="auto" w:fill="EFF6FF"/>
          </w:tcPr>
          <w:p>
            <w:r>
              <w:rPr>
                <w:rFonts w:ascii="Calibri" w:hAnsi="Calibri"/>
                <w:b w:val="0"/>
                <w:i w:val="0"/>
                <w:sz w:val="19"/>
              </w:rPr>
              <w:t>Confidential</w:t>
            </w:r>
          </w:p>
        </w:tc>
      </w:tr>
    </w:tbl>
    <w:p/>
    <w:p>
      <w:pPr>
        <w:spacing w:before="120" w:after="120"/>
        <w:ind w:left="480" w:right="480"/>
        <w:shd w:val="clear" w:color="auto" w:fill="DBEAFE"/>
      </w:pPr>
      <w:r>
        <w:rPr>
          <w:rFonts w:ascii="Calibri" w:hAnsi="Calibri"/>
          <w:b w:val="0"/>
          <w:i/>
          <w:color w:val="0F2D5E"/>
          <w:sz w:val="21"/>
        </w:rPr>
        <w:t>Consulting offering powered by STUMP — 5× faster delivery, AI-accurate insights, optimal cost.</w:t>
      </w:r>
    </w:p>
    <w:p>
      <w:r>
        <w:br w:type="page"/>
      </w:r>
    </w:p>
    <w:p>
      <w:pPr>
        <w:spacing w:before="280" w:after="80"/>
      </w:pPr>
      <w:r>
        <w:rPr>
          <w:rFonts w:ascii="Calibri" w:hAnsi="Calibri"/>
          <w:b/>
          <w:i w:val="0"/>
          <w:color w:val="0F2D5E"/>
          <w:sz w:val="32"/>
        </w:rPr>
        <w:t>1. Overview: The Consulting Offering</w:t>
      </w:r>
    </w:p>
    <w:p>
      <w:pPr>
        <w:spacing w:after="80"/>
      </w:pPr>
      <w:r>
        <w:rPr>
          <w:rFonts w:ascii="Calibri" w:hAnsi="Calibri"/>
          <w:b w:val="0"/>
          <w:i w:val="0"/>
          <w:sz w:val="21"/>
        </w:rPr>
        <w:t>AI-Powered PDLC Transformation is a consulting offering that maps your current-state Product Development Life Cycle (PDLC) using Value Stream Mapping, identifies bottlenecks across speed, productivity, and quality, then designs and implements the right level of AI transformation. The STUMP accelerates every phase — making delivery 5× faster, analysis AI-accurate, and total cost optimal.</w:t>
      </w:r>
    </w:p>
    <w:p>
      <w:pPr>
        <w:spacing w:before="120" w:after="120"/>
        <w:ind w:left="480" w:right="480"/>
        <w:shd w:val="clear" w:color="auto" w:fill="DBEAFE"/>
      </w:pPr>
      <w:r>
        <w:rPr>
          <w:rFonts w:ascii="Calibri" w:hAnsi="Calibri"/>
          <w:b w:val="0"/>
          <w:i/>
          <w:color w:val="0F2D5E"/>
          <w:sz w:val="21"/>
        </w:rPr>
        <w:t>Guiding principle: The methodology delivers transformation; the platform delivers it faster.</w:t>
      </w:r>
    </w:p>
    <w:p>
      <w:pPr>
        <w:spacing w:before="120" w:after="120"/>
        <w:pBdr>
          <w:bottom w:val="single" w:sz="6" w:space="1" w:color="2563EB"/>
        </w:pBdr>
      </w:pPr>
    </w:p>
    <w:p>
      <w:pPr>
        <w:spacing w:before="280" w:after="80"/>
      </w:pPr>
      <w:r>
        <w:rPr>
          <w:rFonts w:ascii="Calibri" w:hAnsi="Calibri"/>
          <w:b/>
          <w:i w:val="0"/>
          <w:color w:val="0F2D5E"/>
          <w:sz w:val="32"/>
        </w:rPr>
        <w:t>2. Three-Phase Methodology</w:t>
      </w:r>
    </w:p>
    <w:p>
      <w:pPr>
        <w:spacing w:before="200" w:after="60"/>
      </w:pPr>
      <w:r>
        <w:rPr>
          <w:rFonts w:ascii="Calibri" w:hAnsi="Calibri"/>
          <w:b/>
          <w:i w:val="0"/>
          <w:color w:val="2563EB"/>
          <w:sz w:val="26"/>
        </w:rPr>
        <w:t>Phase 1 — DIAGNOSE: Current State VSM + Bottleneck Analysis</w:t>
      </w:r>
    </w:p>
    <w:p>
      <w:pPr>
        <w:spacing w:after="80"/>
      </w:pPr>
      <w:r>
        <w:rPr>
          <w:rFonts w:ascii="Calibri" w:hAnsi="Calibri"/>
          <w:b w:val="0"/>
          <w:i w:val="0"/>
          <w:sz w:val="21"/>
        </w:rPr>
        <w:t>Objective: Build an accurate, data-driven picture of today's PDLC and identify where speed, productivity, and quality are constrained.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0F2D5E"/>
          </w:tcPr>
          <w:p>
            <w:pPr>
              <w:jc w:val="center"/>
            </w:pPr>
            <w:r>
              <w:rPr>
                <w:rFonts w:ascii="Calibri" w:hAnsi="Calibri"/>
                <w:b/>
                <w:i w:val="0"/>
                <w:color w:val="FFFFFF"/>
                <w:sz w:val="19"/>
              </w:rPr>
              <w:t>Step</w:t>
            </w:r>
          </w:p>
        </w:tc>
        <w:tc>
          <w:tcPr>
            <w:tcW w:type="dxa" w:w="4320"/>
            <w:shd w:val="clear" w:color="auto" w:fill="0F2D5E"/>
          </w:tcPr>
          <w:p>
            <w:pPr>
              <w:jc w:val="center"/>
            </w:pPr>
            <w:r>
              <w:rPr>
                <w:rFonts w:ascii="Calibri" w:hAnsi="Calibri"/>
                <w:b/>
                <w:i w:val="0"/>
                <w:color w:val="FFFFFF"/>
                <w:sz w:val="19"/>
              </w:rPr>
              <w:t>Activity</w:t>
            </w:r>
          </w:p>
        </w:tc>
        <w:tc>
          <w:tcPr>
            <w:tcW w:type="dxa" w:w="4320"/>
            <w:shd w:val="clear" w:color="auto" w:fill="0F2D5E"/>
          </w:tcPr>
          <w:p>
            <w:pPr>
              <w:jc w:val="center"/>
            </w:pPr>
            <w:r>
              <w:rPr>
                <w:rFonts w:ascii="Calibri" w:hAnsi="Calibri"/>
                <w:b/>
                <w:i w:val="0"/>
                <w:color w:val="FFFFFF"/>
                <w:sz w:val="19"/>
              </w:rPr>
              <w:t>Platform Role</w:t>
            </w:r>
          </w:p>
        </w:tc>
        <w:tc>
          <w:tcPr>
            <w:tcW w:type="dxa" w:w="3600"/>
            <w:shd w:val="clear" w:color="auto" w:fill="0F2D5E"/>
          </w:tcPr>
          <w:p>
            <w:pPr>
              <w:jc w:val="center"/>
            </w:pPr>
            <w:r>
              <w:rPr>
                <w:rFonts w:ascii="Calibri" w:hAnsi="Calibri"/>
                <w:b/>
                <w:i w:val="0"/>
                <w:color w:val="FFFFFF"/>
                <w:sz w:val="19"/>
              </w:rPr>
              <w:t>Output</w:t>
            </w:r>
          </w:p>
        </w:tc>
      </w:tr>
      <w:tr>
        <w:tc>
          <w:tcPr>
            <w:tcW w:type="dxa" w:w="2880"/>
            <w:shd w:val="clear" w:color="auto" w:fill="EFF6FF"/>
          </w:tcPr>
          <w:p>
            <w:r>
              <w:rPr>
                <w:rFonts w:ascii="Calibri" w:hAnsi="Calibri"/>
                <w:b w:val="0"/>
                <w:i w:val="0"/>
                <w:sz w:val="19"/>
              </w:rPr>
              <w:t>1.1</w:t>
            </w:r>
          </w:p>
        </w:tc>
        <w:tc>
          <w:tcPr>
            <w:tcW w:type="dxa" w:w="4320"/>
            <w:shd w:val="clear" w:color="auto" w:fill="EFF6FF"/>
          </w:tcPr>
          <w:p>
            <w:r>
              <w:rPr>
                <w:rFonts w:ascii="Calibri" w:hAnsi="Calibri"/>
                <w:b w:val="0"/>
                <w:i w:val="0"/>
                <w:sz w:val="19"/>
              </w:rPr>
              <w:t>PDLC Discovery Workshop</w:t>
            </w:r>
          </w:p>
        </w:tc>
        <w:tc>
          <w:tcPr>
            <w:tcW w:type="dxa" w:w="4320"/>
            <w:shd w:val="clear" w:color="auto" w:fill="EFF6FF"/>
          </w:tcPr>
          <w:p>
            <w:r>
              <w:rPr>
                <w:rFonts w:ascii="Calibri" w:hAnsi="Calibri"/>
                <w:b w:val="0"/>
                <w:i w:val="0"/>
                <w:sz w:val="19"/>
              </w:rPr>
              <w:t>Auto-instruments workflow data</w:t>
            </w:r>
          </w:p>
        </w:tc>
        <w:tc>
          <w:tcPr>
            <w:tcW w:type="dxa" w:w="3600"/>
            <w:shd w:val="clear" w:color="auto" w:fill="EFF6FF"/>
          </w:tcPr>
          <w:p>
            <w:r>
              <w:rPr>
                <w:rFonts w:ascii="Calibri" w:hAnsi="Calibri"/>
                <w:b w:val="0"/>
                <w:i w:val="0"/>
                <w:sz w:val="19"/>
              </w:rPr>
              <w:t>Validated process map</w:t>
            </w:r>
          </w:p>
        </w:tc>
      </w:tr>
      <w:tr>
        <w:tc>
          <w:tcPr>
            <w:tcW w:type="dxa" w:w="2880"/>
          </w:tcPr>
          <w:p>
            <w:r>
              <w:rPr>
                <w:rFonts w:ascii="Calibri" w:hAnsi="Calibri"/>
                <w:b w:val="0"/>
                <w:i w:val="0"/>
                <w:sz w:val="19"/>
              </w:rPr>
              <w:t>1.2</w:t>
            </w:r>
          </w:p>
        </w:tc>
        <w:tc>
          <w:tcPr>
            <w:tcW w:type="dxa" w:w="4320"/>
          </w:tcPr>
          <w:p>
            <w:r>
              <w:rPr>
                <w:rFonts w:ascii="Calibri" w:hAnsi="Calibri"/>
                <w:b w:val="0"/>
                <w:i w:val="0"/>
                <w:sz w:val="19"/>
              </w:rPr>
              <w:t>Value Stream Mapping</w:t>
            </w:r>
          </w:p>
        </w:tc>
        <w:tc>
          <w:tcPr>
            <w:tcW w:type="dxa" w:w="4320"/>
          </w:tcPr>
          <w:p>
            <w:r>
              <w:rPr>
                <w:rFonts w:ascii="Calibri" w:hAnsi="Calibri"/>
                <w:b w:val="0"/>
                <w:i w:val="0"/>
                <w:sz w:val="19"/>
              </w:rPr>
              <w:t>Generates VSM with AI annotations</w:t>
            </w:r>
          </w:p>
        </w:tc>
        <w:tc>
          <w:tcPr>
            <w:tcW w:type="dxa" w:w="3600"/>
          </w:tcPr>
          <w:p>
            <w:r>
              <w:rPr>
                <w:rFonts w:ascii="Calibri" w:hAnsi="Calibri"/>
                <w:b w:val="0"/>
                <w:i w:val="0"/>
                <w:sz w:val="19"/>
              </w:rPr>
              <w:t>Current-state VSM</w:t>
            </w:r>
          </w:p>
        </w:tc>
      </w:tr>
      <w:tr>
        <w:tc>
          <w:tcPr>
            <w:tcW w:type="dxa" w:w="2880"/>
            <w:shd w:val="clear" w:color="auto" w:fill="EFF6FF"/>
          </w:tcPr>
          <w:p>
            <w:r>
              <w:rPr>
                <w:rFonts w:ascii="Calibri" w:hAnsi="Calibri"/>
                <w:b w:val="0"/>
                <w:i w:val="0"/>
                <w:sz w:val="19"/>
              </w:rPr>
              <w:t>1.3</w:t>
            </w:r>
          </w:p>
        </w:tc>
        <w:tc>
          <w:tcPr>
            <w:tcW w:type="dxa" w:w="4320"/>
            <w:shd w:val="clear" w:color="auto" w:fill="EFF6FF"/>
          </w:tcPr>
          <w:p>
            <w:r>
              <w:rPr>
                <w:rFonts w:ascii="Calibri" w:hAnsi="Calibri"/>
                <w:b w:val="0"/>
                <w:i w:val="0"/>
                <w:sz w:val="19"/>
              </w:rPr>
              <w:t>Bottleneck Scoring</w:t>
            </w:r>
          </w:p>
        </w:tc>
        <w:tc>
          <w:tcPr>
            <w:tcW w:type="dxa" w:w="4320"/>
            <w:shd w:val="clear" w:color="auto" w:fill="EFF6FF"/>
          </w:tcPr>
          <w:p>
            <w:r>
              <w:rPr>
                <w:rFonts w:ascii="Calibri" w:hAnsi="Calibri"/>
                <w:b w:val="0"/>
                <w:i w:val="0"/>
                <w:sz w:val="19"/>
              </w:rPr>
              <w:t>Scores every step across 3 dimensions</w:t>
            </w:r>
          </w:p>
        </w:tc>
        <w:tc>
          <w:tcPr>
            <w:tcW w:type="dxa" w:w="3600"/>
            <w:shd w:val="clear" w:color="auto" w:fill="EFF6FF"/>
          </w:tcPr>
          <w:p>
            <w:r>
              <w:rPr>
                <w:rFonts w:ascii="Calibri" w:hAnsi="Calibri"/>
                <w:b w:val="0"/>
                <w:i w:val="0"/>
                <w:sz w:val="19"/>
              </w:rPr>
              <w:t>Bottleneck heat map</w:t>
            </w:r>
          </w:p>
        </w:tc>
      </w:tr>
      <w:tr>
        <w:tc>
          <w:tcPr>
            <w:tcW w:type="dxa" w:w="2880"/>
          </w:tcPr>
          <w:p>
            <w:r>
              <w:rPr>
                <w:rFonts w:ascii="Calibri" w:hAnsi="Calibri"/>
                <w:b w:val="0"/>
                <w:i w:val="0"/>
                <w:sz w:val="19"/>
              </w:rPr>
              <w:t>1.4</w:t>
            </w:r>
          </w:p>
        </w:tc>
        <w:tc>
          <w:tcPr>
            <w:tcW w:type="dxa" w:w="4320"/>
          </w:tcPr>
          <w:p>
            <w:r>
              <w:rPr>
                <w:rFonts w:ascii="Calibri" w:hAnsi="Calibri"/>
                <w:b w:val="0"/>
                <w:i w:val="0"/>
                <w:sz w:val="19"/>
              </w:rPr>
              <w:t>Waste Quantification</w:t>
            </w:r>
          </w:p>
        </w:tc>
        <w:tc>
          <w:tcPr>
            <w:tcW w:type="dxa" w:w="4320"/>
          </w:tcPr>
          <w:p>
            <w:r>
              <w:rPr>
                <w:rFonts w:ascii="Calibri" w:hAnsi="Calibri"/>
                <w:b w:val="0"/>
                <w:i w:val="0"/>
                <w:sz w:val="19"/>
              </w:rPr>
              <w:t>Calculates cost of delay per step</w:t>
            </w:r>
          </w:p>
        </w:tc>
        <w:tc>
          <w:tcPr>
            <w:tcW w:type="dxa" w:w="3600"/>
          </w:tcPr>
          <w:p>
            <w:r>
              <w:rPr>
                <w:rFonts w:ascii="Calibri" w:hAnsi="Calibri"/>
                <w:b w:val="0"/>
                <w:i w:val="0"/>
                <w:sz w:val="19"/>
              </w:rPr>
              <w:t>Waste register ($)</w:t>
            </w:r>
          </w:p>
        </w:tc>
      </w:tr>
      <w:tr>
        <w:tc>
          <w:tcPr>
            <w:tcW w:type="dxa" w:w="2880"/>
            <w:shd w:val="clear" w:color="auto" w:fill="EFF6FF"/>
          </w:tcPr>
          <w:p>
            <w:r>
              <w:rPr>
                <w:rFonts w:ascii="Calibri" w:hAnsi="Calibri"/>
                <w:b w:val="0"/>
                <w:i w:val="0"/>
                <w:sz w:val="19"/>
              </w:rPr>
              <w:t>1.5</w:t>
            </w:r>
          </w:p>
        </w:tc>
        <w:tc>
          <w:tcPr>
            <w:tcW w:type="dxa" w:w="4320"/>
            <w:shd w:val="clear" w:color="auto" w:fill="EFF6FF"/>
          </w:tcPr>
          <w:p>
            <w:r>
              <w:rPr>
                <w:rFonts w:ascii="Calibri" w:hAnsi="Calibri"/>
                <w:b w:val="0"/>
                <w:i w:val="0"/>
                <w:sz w:val="19"/>
              </w:rPr>
              <w:t>Stakeholder Alignment</w:t>
            </w:r>
          </w:p>
        </w:tc>
        <w:tc>
          <w:tcPr>
            <w:tcW w:type="dxa" w:w="4320"/>
            <w:shd w:val="clear" w:color="auto" w:fill="EFF6FF"/>
          </w:tcPr>
          <w:p>
            <w:r>
              <w:rPr>
                <w:rFonts w:ascii="Calibri" w:hAnsi="Calibri"/>
                <w:b w:val="0"/>
                <w:i w:val="0"/>
                <w:sz w:val="19"/>
              </w:rPr>
              <w:t>Produces executive summary deck</w:t>
            </w:r>
          </w:p>
        </w:tc>
        <w:tc>
          <w:tcPr>
            <w:tcW w:type="dxa" w:w="3600"/>
            <w:shd w:val="clear" w:color="auto" w:fill="EFF6FF"/>
          </w:tcPr>
          <w:p>
            <w:r>
              <w:rPr>
                <w:rFonts w:ascii="Calibri" w:hAnsi="Calibri"/>
                <w:b w:val="0"/>
                <w:i w:val="0"/>
                <w:sz w:val="19"/>
              </w:rPr>
              <w:t>Findings readout</w:t>
            </w:r>
          </w:p>
        </w:tc>
      </w:tr>
    </w:tbl>
    <w:p/>
    <w:p>
      <w:pPr>
        <w:pStyle w:val="ListBullet"/>
        <w:spacing w:after="40"/>
      </w:pPr>
      <w:r>
        <w:rPr>
          <w:rFonts w:ascii="Calibri" w:hAnsi="Calibri"/>
          <w:b w:val="0"/>
          <w:i w:val="0"/>
          <w:sz w:val="21"/>
        </w:rPr>
        <w:t>Speed bottlenecks: steps with lead time &gt;2× median</w:t>
      </w:r>
    </w:p>
    <w:p>
      <w:pPr>
        <w:pStyle w:val="ListBullet"/>
        <w:spacing w:after="40"/>
      </w:pPr>
      <w:r>
        <w:rPr>
          <w:rFonts w:ascii="Calibri" w:hAnsi="Calibri"/>
          <w:b w:val="0"/>
          <w:i w:val="0"/>
          <w:sz w:val="21"/>
        </w:rPr>
        <w:t>Productivity bottlenecks: steps with flow efficiency &lt;25%</w:t>
      </w:r>
    </w:p>
    <w:p>
      <w:pPr>
        <w:pStyle w:val="ListBullet"/>
        <w:spacing w:after="40"/>
      </w:pPr>
      <w:r>
        <w:rPr>
          <w:rFonts w:ascii="Calibri" w:hAnsi="Calibri"/>
          <w:b w:val="0"/>
          <w:i w:val="0"/>
          <w:sz w:val="21"/>
        </w:rPr>
        <w:t>Quality bottlenecks: steps with defect escape rate &gt;15%</w:t>
      </w:r>
    </w:p>
    <w:p>
      <w:pPr>
        <w:spacing w:before="120" w:after="120"/>
        <w:pBdr>
          <w:bottom w:val="single" w:sz="6" w:space="1" w:color="2563EB"/>
        </w:pBdr>
      </w:pPr>
    </w:p>
    <w:p>
      <w:pPr>
        <w:spacing w:before="200" w:after="60"/>
      </w:pPr>
      <w:r>
        <w:rPr>
          <w:rFonts w:ascii="Calibri" w:hAnsi="Calibri"/>
          <w:b/>
          <w:i w:val="0"/>
          <w:color w:val="2563EB"/>
          <w:sz w:val="26"/>
        </w:rPr>
        <w:t>Phase 2 — DESIGN: Three AI Transformation Options + Business Case</w:t>
      </w:r>
    </w:p>
    <w:p>
      <w:pPr>
        <w:spacing w:after="80"/>
      </w:pPr>
      <w:r>
        <w:rPr>
          <w:rFonts w:ascii="Calibri" w:hAnsi="Calibri"/>
          <w:b w:val="0"/>
          <w:i w:val="0"/>
          <w:sz w:val="21"/>
        </w:rPr>
        <w:t>Objective: Present three clearly differentiated paths forward, each with a business case, ROI projection, and implementation roadmap, so the client can make an informed, risk-calibrated decision.</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3312"/>
            <w:shd w:val="clear" w:color="auto" w:fill="0F2D5E"/>
          </w:tcPr>
          <w:p>
            <w:pPr>
              <w:jc w:val="center"/>
            </w:pPr>
            <w:r>
              <w:rPr>
                <w:rFonts w:ascii="Calibri" w:hAnsi="Calibri"/>
                <w:b/>
                <w:i w:val="0"/>
                <w:color w:val="FFFFFF"/>
                <w:sz w:val="19"/>
              </w:rPr>
              <w:t>Option</w:t>
            </w:r>
          </w:p>
        </w:tc>
        <w:tc>
          <w:tcPr>
            <w:tcW w:type="dxa" w:w="2016"/>
            <w:shd w:val="clear" w:color="auto" w:fill="0F2D5E"/>
          </w:tcPr>
          <w:p>
            <w:pPr>
              <w:jc w:val="center"/>
            </w:pPr>
            <w:r>
              <w:rPr>
                <w:rFonts w:ascii="Calibri" w:hAnsi="Calibri"/>
                <w:b/>
                <w:i w:val="0"/>
                <w:color w:val="FFFFFF"/>
                <w:sz w:val="19"/>
              </w:rPr>
              <w:t>Human Role</w:t>
            </w:r>
          </w:p>
        </w:tc>
        <w:tc>
          <w:tcPr>
            <w:tcW w:type="dxa" w:w="1728"/>
            <w:shd w:val="clear" w:color="auto" w:fill="0F2D5E"/>
          </w:tcPr>
          <w:p>
            <w:pPr>
              <w:jc w:val="center"/>
            </w:pPr>
            <w:r>
              <w:rPr>
                <w:rFonts w:ascii="Calibri" w:hAnsi="Calibri"/>
                <w:b/>
                <w:i w:val="0"/>
                <w:color w:val="FFFFFF"/>
                <w:sz w:val="19"/>
              </w:rPr>
              <w:t>Complexity</w:t>
            </w:r>
          </w:p>
        </w:tc>
        <w:tc>
          <w:tcPr>
            <w:tcW w:type="dxa" w:w="1584"/>
            <w:shd w:val="clear" w:color="auto" w:fill="0F2D5E"/>
          </w:tcPr>
          <w:p>
            <w:pPr>
              <w:jc w:val="center"/>
            </w:pPr>
            <w:r>
              <w:rPr>
                <w:rFonts w:ascii="Calibri" w:hAnsi="Calibri"/>
                <w:b/>
                <w:i w:val="0"/>
                <w:color w:val="FFFFFF"/>
                <w:sz w:val="19"/>
              </w:rPr>
              <w:t>Speed Gain</w:t>
            </w:r>
          </w:p>
        </w:tc>
        <w:tc>
          <w:tcPr>
            <w:tcW w:type="dxa" w:w="1728"/>
            <w:shd w:val="clear" w:color="auto" w:fill="0F2D5E"/>
          </w:tcPr>
          <w:p>
            <w:pPr>
              <w:jc w:val="center"/>
            </w:pPr>
            <w:r>
              <w:rPr>
                <w:rFonts w:ascii="Calibri" w:hAnsi="Calibri"/>
                <w:b/>
                <w:i w:val="0"/>
                <w:color w:val="FFFFFF"/>
                <w:sz w:val="19"/>
              </w:rPr>
              <w:t>Productivity</w:t>
            </w:r>
          </w:p>
        </w:tc>
        <w:tc>
          <w:tcPr>
            <w:tcW w:type="dxa" w:w="1584"/>
            <w:shd w:val="clear" w:color="auto" w:fill="0F2D5E"/>
          </w:tcPr>
          <w:p>
            <w:pPr>
              <w:jc w:val="center"/>
            </w:pPr>
            <w:r>
              <w:rPr>
                <w:rFonts w:ascii="Calibri" w:hAnsi="Calibri"/>
                <w:b/>
                <w:i w:val="0"/>
                <w:color w:val="FFFFFF"/>
                <w:sz w:val="19"/>
              </w:rPr>
              <w:t>Quality</w:t>
            </w:r>
          </w:p>
        </w:tc>
        <w:tc>
          <w:tcPr>
            <w:tcW w:type="dxa" w:w="1440"/>
            <w:shd w:val="clear" w:color="auto" w:fill="0F2D5E"/>
          </w:tcPr>
          <w:p>
            <w:pPr>
              <w:jc w:val="center"/>
            </w:pPr>
            <w:r>
              <w:rPr>
                <w:rFonts w:ascii="Calibri" w:hAnsi="Calibri"/>
                <w:b/>
                <w:i w:val="0"/>
                <w:color w:val="FFFFFF"/>
                <w:sz w:val="19"/>
              </w:rPr>
              <w:t>ROI</w:t>
            </w:r>
          </w:p>
        </w:tc>
        <w:tc>
          <w:tcPr>
            <w:tcW w:type="dxa" w:w="1872"/>
            <w:shd w:val="clear" w:color="auto" w:fill="0F2D5E"/>
          </w:tcPr>
          <w:p>
            <w:pPr>
              <w:jc w:val="center"/>
            </w:pPr>
            <w:r>
              <w:rPr>
                <w:rFonts w:ascii="Calibri" w:hAnsi="Calibri"/>
                <w:b/>
                <w:i w:val="0"/>
                <w:color w:val="FFFFFF"/>
                <w:sz w:val="19"/>
              </w:rPr>
              <w:t>Investment</w:t>
            </w:r>
          </w:p>
        </w:tc>
      </w:tr>
      <w:tr>
        <w:tc>
          <w:tcPr>
            <w:tcW w:type="dxa" w:w="3312"/>
            <w:shd w:val="clear" w:color="auto" w:fill="EFF6FF"/>
          </w:tcPr>
          <w:p>
            <w:r>
              <w:rPr>
                <w:rFonts w:ascii="Calibri" w:hAnsi="Calibri"/>
                <w:b w:val="0"/>
                <w:i w:val="0"/>
                <w:sz w:val="19"/>
              </w:rPr>
              <w:t>A — AI-Augmented PDLC</w:t>
            </w:r>
          </w:p>
        </w:tc>
        <w:tc>
          <w:tcPr>
            <w:tcW w:type="dxa" w:w="2016"/>
            <w:shd w:val="clear" w:color="auto" w:fill="EFF6FF"/>
          </w:tcPr>
          <w:p>
            <w:r>
              <w:rPr>
                <w:rFonts w:ascii="Calibri" w:hAnsi="Calibri"/>
                <w:b w:val="0"/>
                <w:i w:val="0"/>
                <w:sz w:val="19"/>
              </w:rPr>
              <w:t>In the loop</w:t>
            </w:r>
          </w:p>
        </w:tc>
        <w:tc>
          <w:tcPr>
            <w:tcW w:type="dxa" w:w="1728"/>
            <w:shd w:val="clear" w:color="auto" w:fill="EFF6FF"/>
          </w:tcPr>
          <w:p>
            <w:r>
              <w:rPr>
                <w:rFonts w:ascii="Calibri" w:hAnsi="Calibri"/>
                <w:b w:val="0"/>
                <w:i w:val="0"/>
                <w:sz w:val="19"/>
              </w:rPr>
              <w:t>Low</w:t>
            </w:r>
          </w:p>
        </w:tc>
        <w:tc>
          <w:tcPr>
            <w:tcW w:type="dxa" w:w="1584"/>
            <w:shd w:val="clear" w:color="auto" w:fill="EFF6FF"/>
          </w:tcPr>
          <w:p>
            <w:r>
              <w:rPr>
                <w:rFonts w:ascii="Calibri" w:hAnsi="Calibri"/>
                <w:b w:val="0"/>
                <w:i w:val="0"/>
                <w:sz w:val="19"/>
              </w:rPr>
              <w:t>+25%</w:t>
            </w:r>
          </w:p>
        </w:tc>
        <w:tc>
          <w:tcPr>
            <w:tcW w:type="dxa" w:w="1728"/>
            <w:shd w:val="clear" w:color="auto" w:fill="EFF6FF"/>
          </w:tcPr>
          <w:p>
            <w:r>
              <w:rPr>
                <w:rFonts w:ascii="Calibri" w:hAnsi="Calibri"/>
                <w:b w:val="0"/>
                <w:i w:val="0"/>
                <w:sz w:val="19"/>
              </w:rPr>
              <w:t>+20%</w:t>
            </w:r>
          </w:p>
        </w:tc>
        <w:tc>
          <w:tcPr>
            <w:tcW w:type="dxa" w:w="1584"/>
            <w:shd w:val="clear" w:color="auto" w:fill="EFF6FF"/>
          </w:tcPr>
          <w:p>
            <w:r>
              <w:rPr>
                <w:rFonts w:ascii="Calibri" w:hAnsi="Calibri"/>
                <w:b w:val="0"/>
                <w:i w:val="0"/>
                <w:sz w:val="19"/>
              </w:rPr>
              <w:t>+15%</w:t>
            </w:r>
          </w:p>
        </w:tc>
        <w:tc>
          <w:tcPr>
            <w:tcW w:type="dxa" w:w="1440"/>
            <w:shd w:val="clear" w:color="auto" w:fill="EFF6FF"/>
          </w:tcPr>
          <w:p>
            <w:r>
              <w:rPr>
                <w:rFonts w:ascii="Calibri" w:hAnsi="Calibri"/>
                <w:b w:val="0"/>
                <w:i w:val="0"/>
                <w:sz w:val="19"/>
              </w:rPr>
              <w:t>2–3×</w:t>
            </w:r>
          </w:p>
        </w:tc>
        <w:tc>
          <w:tcPr>
            <w:tcW w:type="dxa" w:w="1872"/>
            <w:shd w:val="clear" w:color="auto" w:fill="EFF6FF"/>
          </w:tcPr>
          <w:p>
            <w:r>
              <w:rPr>
                <w:rFonts w:ascii="Calibri" w:hAnsi="Calibri"/>
                <w:b w:val="0"/>
                <w:i w:val="0"/>
                <w:sz w:val="19"/>
              </w:rPr>
              <w:t>$350–600K</w:t>
            </w:r>
          </w:p>
        </w:tc>
      </w:tr>
      <w:tr>
        <w:tc>
          <w:tcPr>
            <w:tcW w:type="dxa" w:w="3312"/>
          </w:tcPr>
          <w:p>
            <w:r>
              <w:rPr>
                <w:rFonts w:ascii="Calibri" w:hAnsi="Calibri"/>
                <w:b w:val="0"/>
                <w:i w:val="0"/>
                <w:sz w:val="19"/>
              </w:rPr>
              <w:t>B — AI Agents + Human Gates ★</w:t>
            </w:r>
          </w:p>
        </w:tc>
        <w:tc>
          <w:tcPr>
            <w:tcW w:type="dxa" w:w="2016"/>
          </w:tcPr>
          <w:p>
            <w:r>
              <w:rPr>
                <w:rFonts w:ascii="Calibri" w:hAnsi="Calibri"/>
                <w:b w:val="0"/>
                <w:i w:val="0"/>
                <w:sz w:val="19"/>
              </w:rPr>
              <w:t>On the loop</w:t>
            </w:r>
          </w:p>
        </w:tc>
        <w:tc>
          <w:tcPr>
            <w:tcW w:type="dxa" w:w="1728"/>
          </w:tcPr>
          <w:p>
            <w:r>
              <w:rPr>
                <w:rFonts w:ascii="Calibri" w:hAnsi="Calibri"/>
                <w:b w:val="0"/>
                <w:i w:val="0"/>
                <w:sz w:val="19"/>
              </w:rPr>
              <w:t>Medium</w:t>
            </w:r>
          </w:p>
        </w:tc>
        <w:tc>
          <w:tcPr>
            <w:tcW w:type="dxa" w:w="1584"/>
          </w:tcPr>
          <w:p>
            <w:r>
              <w:rPr>
                <w:rFonts w:ascii="Calibri" w:hAnsi="Calibri"/>
                <w:b w:val="0"/>
                <w:i w:val="0"/>
                <w:sz w:val="19"/>
              </w:rPr>
              <w:t>+55%</w:t>
            </w:r>
          </w:p>
        </w:tc>
        <w:tc>
          <w:tcPr>
            <w:tcW w:type="dxa" w:w="1728"/>
          </w:tcPr>
          <w:p>
            <w:r>
              <w:rPr>
                <w:rFonts w:ascii="Calibri" w:hAnsi="Calibri"/>
                <w:b w:val="0"/>
                <w:i w:val="0"/>
                <w:sz w:val="19"/>
              </w:rPr>
              <w:t>+50%</w:t>
            </w:r>
          </w:p>
        </w:tc>
        <w:tc>
          <w:tcPr>
            <w:tcW w:type="dxa" w:w="1584"/>
          </w:tcPr>
          <w:p>
            <w:r>
              <w:rPr>
                <w:rFonts w:ascii="Calibri" w:hAnsi="Calibri"/>
                <w:b w:val="0"/>
                <w:i w:val="0"/>
                <w:sz w:val="19"/>
              </w:rPr>
              <w:t>+35%</w:t>
            </w:r>
          </w:p>
        </w:tc>
        <w:tc>
          <w:tcPr>
            <w:tcW w:type="dxa" w:w="1440"/>
          </w:tcPr>
          <w:p>
            <w:r>
              <w:rPr>
                <w:rFonts w:ascii="Calibri" w:hAnsi="Calibri"/>
                <w:b w:val="0"/>
                <w:i w:val="0"/>
                <w:sz w:val="19"/>
              </w:rPr>
              <w:t>4–6×</w:t>
            </w:r>
          </w:p>
        </w:tc>
        <w:tc>
          <w:tcPr>
            <w:tcW w:type="dxa" w:w="1872"/>
          </w:tcPr>
          <w:p>
            <w:r>
              <w:rPr>
                <w:rFonts w:ascii="Calibri" w:hAnsi="Calibri"/>
                <w:b w:val="0"/>
                <w:i w:val="0"/>
                <w:sz w:val="19"/>
              </w:rPr>
              <w:t>$1.2–2M</w:t>
            </w:r>
          </w:p>
        </w:tc>
      </w:tr>
      <w:tr>
        <w:tc>
          <w:tcPr>
            <w:tcW w:type="dxa" w:w="3312"/>
            <w:shd w:val="clear" w:color="auto" w:fill="EFF6FF"/>
          </w:tcPr>
          <w:p>
            <w:r>
              <w:rPr>
                <w:rFonts w:ascii="Calibri" w:hAnsi="Calibri"/>
                <w:b w:val="0"/>
                <w:i w:val="0"/>
                <w:sz w:val="19"/>
              </w:rPr>
              <w:t>C — Fully Agentic PDLC</w:t>
            </w:r>
          </w:p>
        </w:tc>
        <w:tc>
          <w:tcPr>
            <w:tcW w:type="dxa" w:w="2016"/>
            <w:shd w:val="clear" w:color="auto" w:fill="EFF6FF"/>
          </w:tcPr>
          <w:p>
            <w:r>
              <w:rPr>
                <w:rFonts w:ascii="Calibri" w:hAnsi="Calibri"/>
                <w:b w:val="0"/>
                <w:i w:val="0"/>
                <w:sz w:val="19"/>
              </w:rPr>
              <w:t>Above the loop</w:t>
            </w:r>
          </w:p>
        </w:tc>
        <w:tc>
          <w:tcPr>
            <w:tcW w:type="dxa" w:w="1728"/>
            <w:shd w:val="clear" w:color="auto" w:fill="EFF6FF"/>
          </w:tcPr>
          <w:p>
            <w:r>
              <w:rPr>
                <w:rFonts w:ascii="Calibri" w:hAnsi="Calibri"/>
                <w:b w:val="0"/>
                <w:i w:val="0"/>
                <w:sz w:val="19"/>
              </w:rPr>
              <w:t>High</w:t>
            </w:r>
          </w:p>
        </w:tc>
        <w:tc>
          <w:tcPr>
            <w:tcW w:type="dxa" w:w="1584"/>
            <w:shd w:val="clear" w:color="auto" w:fill="EFF6FF"/>
          </w:tcPr>
          <w:p>
            <w:r>
              <w:rPr>
                <w:rFonts w:ascii="Calibri" w:hAnsi="Calibri"/>
                <w:b w:val="0"/>
                <w:i w:val="0"/>
                <w:sz w:val="19"/>
              </w:rPr>
              <w:t>~75%</w:t>
            </w:r>
          </w:p>
        </w:tc>
        <w:tc>
          <w:tcPr>
            <w:tcW w:type="dxa" w:w="1728"/>
            <w:shd w:val="clear" w:color="auto" w:fill="EFF6FF"/>
          </w:tcPr>
          <w:p>
            <w:r>
              <w:rPr>
                <w:rFonts w:ascii="Calibri" w:hAnsi="Calibri"/>
                <w:b w:val="0"/>
                <w:i w:val="0"/>
                <w:sz w:val="19"/>
              </w:rPr>
              <w:t>~75%</w:t>
            </w:r>
          </w:p>
        </w:tc>
        <w:tc>
          <w:tcPr>
            <w:tcW w:type="dxa" w:w="1584"/>
            <w:shd w:val="clear" w:color="auto" w:fill="EFF6FF"/>
          </w:tcPr>
          <w:p>
            <w:r>
              <w:rPr>
                <w:rFonts w:ascii="Calibri" w:hAnsi="Calibri"/>
                <w:b w:val="0"/>
                <w:i w:val="0"/>
                <w:sz w:val="19"/>
              </w:rPr>
              <w:t>~60%</w:t>
            </w:r>
          </w:p>
        </w:tc>
        <w:tc>
          <w:tcPr>
            <w:tcW w:type="dxa" w:w="1440"/>
            <w:shd w:val="clear" w:color="auto" w:fill="EFF6FF"/>
          </w:tcPr>
          <w:p>
            <w:r>
              <w:rPr>
                <w:rFonts w:ascii="Calibri" w:hAnsi="Calibri"/>
                <w:b w:val="0"/>
                <w:i w:val="0"/>
                <w:sz w:val="19"/>
              </w:rPr>
              <w:t>8–12×</w:t>
            </w:r>
          </w:p>
        </w:tc>
        <w:tc>
          <w:tcPr>
            <w:tcW w:type="dxa" w:w="1872"/>
            <w:shd w:val="clear" w:color="auto" w:fill="EFF6FF"/>
          </w:tcPr>
          <w:p>
            <w:r>
              <w:rPr>
                <w:rFonts w:ascii="Calibri" w:hAnsi="Calibri"/>
                <w:b w:val="0"/>
                <w:i w:val="0"/>
                <w:sz w:val="19"/>
              </w:rPr>
              <w:t>$3–5M</w:t>
            </w:r>
          </w:p>
        </w:tc>
      </w:tr>
    </w:tbl>
    <w:p/>
    <w:p>
      <w:pPr>
        <w:spacing w:before="120" w:after="120"/>
        <w:ind w:left="480" w:right="480"/>
        <w:shd w:val="clear" w:color="auto" w:fill="DBEAFE"/>
      </w:pPr>
      <w:r>
        <w:rPr>
          <w:rFonts w:ascii="Calibri" w:hAnsi="Calibri"/>
          <w:b w:val="0"/>
          <w:i/>
          <w:color w:val="0F2D5E"/>
          <w:sz w:val="21"/>
        </w:rPr>
        <w:t>Option B is the recommended starting point for most organisations: meaningful AI autonomy with human oversight at critical gates — delivering 4–6× ROI at manageable risk.</w:t>
      </w:r>
    </w:p>
    <w:p>
      <w:pPr>
        <w:spacing w:before="160" w:after="40"/>
      </w:pPr>
      <w:r>
        <w:rPr>
          <w:rFonts w:ascii="Calibri" w:hAnsi="Calibri"/>
          <w:b/>
          <w:i w:val="0"/>
          <w:color w:val="0F2D5E"/>
          <w:sz w:val="22"/>
        </w:rPr>
        <w:t>Business Case Components (per option)</w:t>
      </w:r>
    </w:p>
    <w:p>
      <w:pPr>
        <w:pStyle w:val="ListBullet"/>
        <w:spacing w:after="40"/>
      </w:pPr>
      <w:r>
        <w:rPr>
          <w:rFonts w:ascii="Calibri" w:hAnsi="Calibri"/>
          <w:b w:val="0"/>
          <w:i w:val="0"/>
          <w:sz w:val="21"/>
        </w:rPr>
        <w:t>Investment: platform licence + configuration + change management</w:t>
      </w:r>
    </w:p>
    <w:p>
      <w:pPr>
        <w:pStyle w:val="ListBullet"/>
        <w:spacing w:after="40"/>
      </w:pPr>
      <w:r>
        <w:rPr>
          <w:rFonts w:ascii="Calibri" w:hAnsi="Calibri"/>
          <w:b w:val="0"/>
          <w:i w:val="0"/>
          <w:sz w:val="21"/>
        </w:rPr>
        <w:t>Benefits: speed gains (time-to-market), productivity gains (FTE capacity), quality gains (defect cost avoided)</w:t>
      </w:r>
    </w:p>
    <w:p>
      <w:pPr>
        <w:pStyle w:val="ListBullet"/>
        <w:spacing w:after="40"/>
      </w:pPr>
      <w:r>
        <w:rPr>
          <w:rFonts w:ascii="Calibri" w:hAnsi="Calibri"/>
          <w:b w:val="0"/>
          <w:i w:val="0"/>
          <w:sz w:val="21"/>
        </w:rPr>
        <w:t>Financial model: NPV, IRR, payback period, 5-year value</w:t>
      </w:r>
    </w:p>
    <w:p>
      <w:pPr>
        <w:pStyle w:val="ListBullet"/>
        <w:spacing w:after="40"/>
      </w:pPr>
      <w:r>
        <w:rPr>
          <w:rFonts w:ascii="Calibri" w:hAnsi="Calibri"/>
          <w:b w:val="0"/>
          <w:i w:val="0"/>
          <w:sz w:val="21"/>
        </w:rPr>
        <w:t>Risk-adjusted scenarios: conservative / expected / optimistic</w:t>
      </w:r>
    </w:p>
    <w:p>
      <w:pPr>
        <w:spacing w:before="120" w:after="120"/>
        <w:pBdr>
          <w:bottom w:val="single" w:sz="6" w:space="1" w:color="2563EB"/>
        </w:pBdr>
      </w:pPr>
    </w:p>
    <w:p>
      <w:pPr>
        <w:spacing w:before="200" w:after="60"/>
      </w:pPr>
      <w:r>
        <w:rPr>
          <w:rFonts w:ascii="Calibri" w:hAnsi="Calibri"/>
          <w:b/>
          <w:i w:val="0"/>
          <w:color w:val="2563EB"/>
          <w:sz w:val="26"/>
        </w:rPr>
        <w:t>Phase 3 — DELIVER: Implementation Playbook + Benefits Tracking</w:t>
      </w:r>
    </w:p>
    <w:p>
      <w:pPr>
        <w:spacing w:after="80"/>
      </w:pPr>
      <w:r>
        <w:rPr>
          <w:rFonts w:ascii="Calibri" w:hAnsi="Calibri"/>
          <w:b w:val="0"/>
          <w:i w:val="0"/>
          <w:sz w:val="21"/>
        </w:rPr>
        <w:t>Objective: Execute the chosen option with a structured delivery methodology, govern progress, and measure benefits realisation from day one.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880"/>
            <w:shd w:val="clear" w:color="auto" w:fill="0F2D5E"/>
          </w:tcPr>
          <w:p>
            <w:pPr>
              <w:jc w:val="center"/>
            </w:pPr>
            <w:r>
              <w:rPr>
                <w:rFonts w:ascii="Calibri" w:hAnsi="Calibri"/>
                <w:b/>
                <w:i w:val="0"/>
                <w:color w:val="FFFFFF"/>
                <w:sz w:val="19"/>
              </w:rPr>
              <w:t>Stream</w:t>
            </w:r>
          </w:p>
        </w:tc>
        <w:tc>
          <w:tcPr>
            <w:tcW w:type="dxa" w:w="3600"/>
            <w:shd w:val="clear" w:color="auto" w:fill="0F2D5E"/>
          </w:tcPr>
          <w:p>
            <w:pPr>
              <w:jc w:val="center"/>
            </w:pPr>
            <w:r>
              <w:rPr>
                <w:rFonts w:ascii="Calibri" w:hAnsi="Calibri"/>
                <w:b/>
                <w:i w:val="0"/>
                <w:color w:val="FFFFFF"/>
                <w:sz w:val="19"/>
              </w:rPr>
              <w:t>Weeks 1–4</w:t>
            </w:r>
          </w:p>
        </w:tc>
        <w:tc>
          <w:tcPr>
            <w:tcW w:type="dxa" w:w="3600"/>
            <w:shd w:val="clear" w:color="auto" w:fill="0F2D5E"/>
          </w:tcPr>
          <w:p>
            <w:pPr>
              <w:jc w:val="center"/>
            </w:pPr>
            <w:r>
              <w:rPr>
                <w:rFonts w:ascii="Calibri" w:hAnsi="Calibri"/>
                <w:b/>
                <w:i w:val="0"/>
                <w:color w:val="FFFFFF"/>
                <w:sz w:val="19"/>
              </w:rPr>
              <w:t>Weeks 5–8</w:t>
            </w:r>
          </w:p>
        </w:tc>
        <w:tc>
          <w:tcPr>
            <w:tcW w:type="dxa" w:w="3600"/>
            <w:shd w:val="clear" w:color="auto" w:fill="0F2D5E"/>
          </w:tcPr>
          <w:p>
            <w:pPr>
              <w:jc w:val="center"/>
            </w:pPr>
            <w:r>
              <w:rPr>
                <w:rFonts w:ascii="Calibri" w:hAnsi="Calibri"/>
                <w:b/>
                <w:i w:val="0"/>
                <w:color w:val="FFFFFF"/>
                <w:sz w:val="19"/>
              </w:rPr>
              <w:t>Weeks 9–12</w:t>
            </w:r>
          </w:p>
        </w:tc>
        <w:tc>
          <w:tcPr>
            <w:tcW w:type="dxa" w:w="3600"/>
            <w:shd w:val="clear" w:color="auto" w:fill="0F2D5E"/>
          </w:tcPr>
          <w:p>
            <w:pPr>
              <w:jc w:val="center"/>
            </w:pPr>
            <w:r>
              <w:rPr>
                <w:rFonts w:ascii="Calibri" w:hAnsi="Calibri"/>
                <w:b/>
                <w:i w:val="0"/>
                <w:color w:val="FFFFFF"/>
                <w:sz w:val="19"/>
              </w:rPr>
              <w:t>Weeks 13–16</w:t>
            </w:r>
          </w:p>
        </w:tc>
      </w:tr>
      <w:tr>
        <w:tc>
          <w:tcPr>
            <w:tcW w:type="dxa" w:w="2880"/>
            <w:shd w:val="clear" w:color="auto" w:fill="EFF6FF"/>
          </w:tcPr>
          <w:p>
            <w:r>
              <w:rPr>
                <w:rFonts w:ascii="Calibri" w:hAnsi="Calibri"/>
                <w:b w:val="0"/>
                <w:i w:val="0"/>
                <w:sz w:val="19"/>
              </w:rPr>
              <w:t>Platform</w:t>
            </w:r>
          </w:p>
        </w:tc>
        <w:tc>
          <w:tcPr>
            <w:tcW w:type="dxa" w:w="3600"/>
            <w:shd w:val="clear" w:color="auto" w:fill="EFF6FF"/>
          </w:tcPr>
          <w:p>
            <w:r>
              <w:rPr>
                <w:rFonts w:ascii="Calibri" w:hAnsi="Calibri"/>
                <w:b w:val="0"/>
                <w:i w:val="0"/>
                <w:sz w:val="19"/>
              </w:rPr>
              <w:t>Configure VSM agents</w:t>
            </w:r>
          </w:p>
        </w:tc>
        <w:tc>
          <w:tcPr>
            <w:tcW w:type="dxa" w:w="3600"/>
            <w:shd w:val="clear" w:color="auto" w:fill="EFF6FF"/>
          </w:tcPr>
          <w:p>
            <w:r>
              <w:rPr>
                <w:rFonts w:ascii="Calibri" w:hAnsi="Calibri"/>
                <w:b w:val="0"/>
                <w:i w:val="0"/>
                <w:sz w:val="19"/>
              </w:rPr>
              <w:t>Integrate CI/CD pipeline</w:t>
            </w:r>
          </w:p>
        </w:tc>
        <w:tc>
          <w:tcPr>
            <w:tcW w:type="dxa" w:w="3600"/>
            <w:shd w:val="clear" w:color="auto" w:fill="EFF6FF"/>
          </w:tcPr>
          <w:p>
            <w:r>
              <w:rPr>
                <w:rFonts w:ascii="Calibri" w:hAnsi="Calibri"/>
                <w:b w:val="0"/>
                <w:i w:val="0"/>
                <w:sz w:val="19"/>
              </w:rPr>
              <w:t>Parallel run</w:t>
            </w:r>
          </w:p>
        </w:tc>
        <w:tc>
          <w:tcPr>
            <w:tcW w:type="dxa" w:w="3600"/>
            <w:shd w:val="clear" w:color="auto" w:fill="EFF6FF"/>
          </w:tcPr>
          <w:p>
            <w:r>
              <w:rPr>
                <w:rFonts w:ascii="Calibri" w:hAnsi="Calibri"/>
                <w:b w:val="0"/>
                <w:i w:val="0"/>
                <w:sz w:val="19"/>
              </w:rPr>
              <w:t>Production cutover</w:t>
            </w:r>
          </w:p>
        </w:tc>
      </w:tr>
      <w:tr>
        <w:tc>
          <w:tcPr>
            <w:tcW w:type="dxa" w:w="2880"/>
          </w:tcPr>
          <w:p>
            <w:r>
              <w:rPr>
                <w:rFonts w:ascii="Calibri" w:hAnsi="Calibri"/>
                <w:b w:val="0"/>
                <w:i w:val="0"/>
                <w:sz w:val="19"/>
              </w:rPr>
              <w:t>Process</w:t>
            </w:r>
          </w:p>
        </w:tc>
        <w:tc>
          <w:tcPr>
            <w:tcW w:type="dxa" w:w="3600"/>
          </w:tcPr>
          <w:p>
            <w:r>
              <w:rPr>
                <w:rFonts w:ascii="Calibri" w:hAnsi="Calibri"/>
                <w:b w:val="0"/>
                <w:i w:val="0"/>
                <w:sz w:val="19"/>
              </w:rPr>
              <w:t>Document to-be workflows</w:t>
            </w:r>
          </w:p>
        </w:tc>
        <w:tc>
          <w:tcPr>
            <w:tcW w:type="dxa" w:w="3600"/>
          </w:tcPr>
          <w:p>
            <w:r>
              <w:rPr>
                <w:rFonts w:ascii="Calibri" w:hAnsi="Calibri"/>
                <w:b w:val="0"/>
                <w:i w:val="0"/>
                <w:sz w:val="19"/>
              </w:rPr>
              <w:t>Train pilot team</w:t>
            </w:r>
          </w:p>
        </w:tc>
        <w:tc>
          <w:tcPr>
            <w:tcW w:type="dxa" w:w="3600"/>
          </w:tcPr>
          <w:p>
            <w:r>
              <w:rPr>
                <w:rFonts w:ascii="Calibri" w:hAnsi="Calibri"/>
                <w:b w:val="0"/>
                <w:i w:val="0"/>
                <w:sz w:val="19"/>
              </w:rPr>
              <w:t>Stabilise</w:t>
            </w:r>
          </w:p>
        </w:tc>
        <w:tc>
          <w:tcPr>
            <w:tcW w:type="dxa" w:w="3600"/>
          </w:tcPr>
          <w:p>
            <w:r>
              <w:rPr>
                <w:rFonts w:ascii="Calibri" w:hAnsi="Calibri"/>
                <w:b w:val="0"/>
                <w:i w:val="0"/>
                <w:sz w:val="19"/>
              </w:rPr>
              <w:t>Optimise</w:t>
            </w:r>
          </w:p>
        </w:tc>
      </w:tr>
      <w:tr>
        <w:tc>
          <w:tcPr>
            <w:tcW w:type="dxa" w:w="2880"/>
            <w:shd w:val="clear" w:color="auto" w:fill="EFF6FF"/>
          </w:tcPr>
          <w:p>
            <w:r>
              <w:rPr>
                <w:rFonts w:ascii="Calibri" w:hAnsi="Calibri"/>
                <w:b w:val="0"/>
                <w:i w:val="0"/>
                <w:sz w:val="19"/>
              </w:rPr>
              <w:t>People</w:t>
            </w:r>
          </w:p>
        </w:tc>
        <w:tc>
          <w:tcPr>
            <w:tcW w:type="dxa" w:w="3600"/>
            <w:shd w:val="clear" w:color="auto" w:fill="EFF6FF"/>
          </w:tcPr>
          <w:p>
            <w:r>
              <w:rPr>
                <w:rFonts w:ascii="Calibri" w:hAnsi="Calibri"/>
                <w:b w:val="0"/>
                <w:i w:val="0"/>
                <w:sz w:val="19"/>
              </w:rPr>
              <w:t>Exec alignment</w:t>
            </w:r>
          </w:p>
        </w:tc>
        <w:tc>
          <w:tcPr>
            <w:tcW w:type="dxa" w:w="3600"/>
            <w:shd w:val="clear" w:color="auto" w:fill="EFF6FF"/>
          </w:tcPr>
          <w:p>
            <w:r>
              <w:rPr>
                <w:rFonts w:ascii="Calibri" w:hAnsi="Calibri"/>
                <w:b w:val="0"/>
                <w:i w:val="0"/>
                <w:sz w:val="19"/>
              </w:rPr>
              <w:t>Champions programme</w:t>
            </w:r>
          </w:p>
        </w:tc>
        <w:tc>
          <w:tcPr>
            <w:tcW w:type="dxa" w:w="3600"/>
            <w:shd w:val="clear" w:color="auto" w:fill="EFF6FF"/>
          </w:tcPr>
          <w:p>
            <w:r>
              <w:rPr>
                <w:rFonts w:ascii="Calibri" w:hAnsi="Calibri"/>
                <w:b w:val="0"/>
                <w:i w:val="0"/>
                <w:sz w:val="19"/>
              </w:rPr>
              <w:t>Adoption sprint</w:t>
            </w:r>
          </w:p>
        </w:tc>
        <w:tc>
          <w:tcPr>
            <w:tcW w:type="dxa" w:w="3600"/>
            <w:shd w:val="clear" w:color="auto" w:fill="EFF6FF"/>
          </w:tcPr>
          <w:p>
            <w:r>
              <w:rPr>
                <w:rFonts w:ascii="Calibri" w:hAnsi="Calibri"/>
                <w:b w:val="0"/>
                <w:i w:val="0"/>
                <w:sz w:val="19"/>
              </w:rPr>
              <w:t>Self-sufficiency</w:t>
            </w:r>
          </w:p>
        </w:tc>
      </w:tr>
      <w:tr>
        <w:tc>
          <w:tcPr>
            <w:tcW w:type="dxa" w:w="2880"/>
          </w:tcPr>
          <w:p>
            <w:r>
              <w:rPr>
                <w:rFonts w:ascii="Calibri" w:hAnsi="Calibri"/>
                <w:b w:val="0"/>
                <w:i w:val="0"/>
                <w:sz w:val="19"/>
              </w:rPr>
              <w:t>Governance</w:t>
            </w:r>
          </w:p>
        </w:tc>
        <w:tc>
          <w:tcPr>
            <w:tcW w:type="dxa" w:w="3600"/>
          </w:tcPr>
          <w:p>
            <w:r>
              <w:rPr>
                <w:rFonts w:ascii="Calibri" w:hAnsi="Calibri"/>
                <w:b w:val="0"/>
                <w:i w:val="0"/>
                <w:sz w:val="19"/>
              </w:rPr>
              <w:t>KPI baseline</w:t>
            </w:r>
          </w:p>
        </w:tc>
        <w:tc>
          <w:tcPr>
            <w:tcW w:type="dxa" w:w="3600"/>
          </w:tcPr>
          <w:p>
            <w:r>
              <w:rPr>
                <w:rFonts w:ascii="Calibri" w:hAnsi="Calibri"/>
                <w:b w:val="0"/>
                <w:i w:val="0"/>
                <w:sz w:val="19"/>
              </w:rPr>
              <w:t>Bi-weekly steering</w:t>
            </w:r>
          </w:p>
        </w:tc>
        <w:tc>
          <w:tcPr>
            <w:tcW w:type="dxa" w:w="3600"/>
          </w:tcPr>
          <w:p>
            <w:r>
              <w:rPr>
                <w:rFonts w:ascii="Calibri" w:hAnsi="Calibri"/>
                <w:b w:val="0"/>
                <w:i w:val="0"/>
                <w:sz w:val="19"/>
              </w:rPr>
              <w:t>Mid-point review</w:t>
            </w:r>
          </w:p>
        </w:tc>
        <w:tc>
          <w:tcPr>
            <w:tcW w:type="dxa" w:w="3600"/>
          </w:tcPr>
          <w:p>
            <w:r>
              <w:rPr>
                <w:rFonts w:ascii="Calibri" w:hAnsi="Calibri"/>
                <w:b w:val="0"/>
                <w:i w:val="0"/>
                <w:sz w:val="19"/>
              </w:rPr>
              <w:t>Benefits audit</w:t>
            </w:r>
          </w:p>
        </w:tc>
      </w:tr>
    </w:tbl>
    <w:p/>
    <w:p>
      <w:pPr>
        <w:spacing w:before="120" w:after="120"/>
        <w:pBdr>
          <w:bottom w:val="single" w:sz="6" w:space="1" w:color="2563EB"/>
        </w:pBdr>
      </w:pPr>
    </w:p>
    <w:p>
      <w:pPr>
        <w:spacing w:before="280" w:after="80"/>
      </w:pPr>
      <w:r>
        <w:rPr>
          <w:rFonts w:ascii="Calibri" w:hAnsi="Calibri"/>
          <w:b/>
          <w:i w:val="0"/>
          <w:color w:val="0F2D5E"/>
          <w:sz w:val="32"/>
        </w:rPr>
        <w:t>3. Platform Acceleration Model</w:t>
      </w:r>
    </w:p>
    <w:p>
      <w:pPr>
        <w:spacing w:after="80"/>
      </w:pPr>
      <w:r>
        <w:rPr>
          <w:rFonts w:ascii="Calibri" w:hAnsi="Calibri"/>
          <w:b w:val="0"/>
          <w:i w:val="0"/>
          <w:sz w:val="21"/>
        </w:rPr>
        <w:t>The STUMP is not the product — it is the engine that makes the consulting offering faster, more accurate, and more cost-effective.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0"/>
            <w:shd w:val="clear" w:color="auto" w:fill="0F2D5E"/>
          </w:tcPr>
          <w:p>
            <w:pPr>
              <w:jc w:val="center"/>
            </w:pPr>
            <w:r>
              <w:rPr>
                <w:rFonts w:ascii="Calibri" w:hAnsi="Calibri"/>
                <w:b/>
                <w:i w:val="0"/>
                <w:color w:val="FFFFFF"/>
                <w:sz w:val="19"/>
              </w:rPr>
              <w:t>Activity</w:t>
            </w:r>
          </w:p>
        </w:tc>
        <w:tc>
          <w:tcPr>
            <w:tcW w:type="dxa" w:w="3600"/>
            <w:shd w:val="clear" w:color="auto" w:fill="0F2D5E"/>
          </w:tcPr>
          <w:p>
            <w:pPr>
              <w:jc w:val="center"/>
            </w:pPr>
            <w:r>
              <w:rPr>
                <w:rFonts w:ascii="Calibri" w:hAnsi="Calibri"/>
                <w:b/>
                <w:i w:val="0"/>
                <w:color w:val="FFFFFF"/>
                <w:sz w:val="19"/>
              </w:rPr>
              <w:t>Without Platform</w:t>
            </w:r>
          </w:p>
        </w:tc>
        <w:tc>
          <w:tcPr>
            <w:tcW w:type="dxa" w:w="3600"/>
            <w:shd w:val="clear" w:color="auto" w:fill="0F2D5E"/>
          </w:tcPr>
          <w:p>
            <w:pPr>
              <w:jc w:val="center"/>
            </w:pPr>
            <w:r>
              <w:rPr>
                <w:rFonts w:ascii="Calibri" w:hAnsi="Calibri"/>
                <w:b/>
                <w:i w:val="0"/>
                <w:color w:val="FFFFFF"/>
                <w:sz w:val="19"/>
              </w:rPr>
              <w:t>With Platform</w:t>
            </w:r>
          </w:p>
        </w:tc>
        <w:tc>
          <w:tcPr>
            <w:tcW w:type="dxa" w:w="2160"/>
            <w:shd w:val="clear" w:color="auto" w:fill="0F2D5E"/>
          </w:tcPr>
          <w:p>
            <w:pPr>
              <w:jc w:val="center"/>
            </w:pPr>
            <w:r>
              <w:rPr>
                <w:rFonts w:ascii="Calibri" w:hAnsi="Calibri"/>
                <w:b/>
                <w:i w:val="0"/>
                <w:color w:val="FFFFFF"/>
                <w:sz w:val="19"/>
              </w:rPr>
              <w:t>Gain</w:t>
            </w:r>
          </w:p>
        </w:tc>
      </w:tr>
      <w:tr>
        <w:tc>
          <w:tcPr>
            <w:tcW w:type="dxa" w:w="4320"/>
            <w:shd w:val="clear" w:color="auto" w:fill="EFF6FF"/>
          </w:tcPr>
          <w:p>
            <w:r>
              <w:rPr>
                <w:rFonts w:ascii="Calibri" w:hAnsi="Calibri"/>
                <w:b w:val="0"/>
                <w:i w:val="0"/>
                <w:sz w:val="19"/>
              </w:rPr>
              <w:t>VSM data collection</w:t>
            </w:r>
          </w:p>
        </w:tc>
        <w:tc>
          <w:tcPr>
            <w:tcW w:type="dxa" w:w="3600"/>
            <w:shd w:val="clear" w:color="auto" w:fill="EFF6FF"/>
          </w:tcPr>
          <w:p>
            <w:r>
              <w:rPr>
                <w:rFonts w:ascii="Calibri" w:hAnsi="Calibri"/>
                <w:b w:val="0"/>
                <w:i w:val="0"/>
                <w:sz w:val="19"/>
              </w:rPr>
              <w:t>3–4 weeks manual</w:t>
            </w:r>
          </w:p>
        </w:tc>
        <w:tc>
          <w:tcPr>
            <w:tcW w:type="dxa" w:w="3600"/>
            <w:shd w:val="clear" w:color="auto" w:fill="EFF6FF"/>
          </w:tcPr>
          <w:p>
            <w:r>
              <w:rPr>
                <w:rFonts w:ascii="Calibri" w:hAnsi="Calibri"/>
                <w:b w:val="0"/>
                <w:i w:val="0"/>
                <w:sz w:val="19"/>
              </w:rPr>
              <w:t>2–3 days automated</w:t>
            </w:r>
          </w:p>
        </w:tc>
        <w:tc>
          <w:tcPr>
            <w:tcW w:type="dxa" w:w="2160"/>
            <w:shd w:val="clear" w:color="auto" w:fill="EFF6FF"/>
          </w:tcPr>
          <w:p>
            <w:r>
              <w:rPr>
                <w:rFonts w:ascii="Calibri" w:hAnsi="Calibri"/>
                <w:b w:val="0"/>
                <w:i w:val="0"/>
                <w:sz w:val="19"/>
              </w:rPr>
              <w:t>10× faster</w:t>
            </w:r>
          </w:p>
        </w:tc>
      </w:tr>
      <w:tr>
        <w:tc>
          <w:tcPr>
            <w:tcW w:type="dxa" w:w="4320"/>
          </w:tcPr>
          <w:p>
            <w:r>
              <w:rPr>
                <w:rFonts w:ascii="Calibri" w:hAnsi="Calibri"/>
                <w:b w:val="0"/>
                <w:i w:val="0"/>
                <w:sz w:val="19"/>
              </w:rPr>
              <w:t>Bottleneck analysis</w:t>
            </w:r>
          </w:p>
        </w:tc>
        <w:tc>
          <w:tcPr>
            <w:tcW w:type="dxa" w:w="3600"/>
          </w:tcPr>
          <w:p>
            <w:r>
              <w:rPr>
                <w:rFonts w:ascii="Calibri" w:hAnsi="Calibri"/>
                <w:b w:val="0"/>
                <w:i w:val="0"/>
                <w:sz w:val="19"/>
              </w:rPr>
              <w:t>2 weeks analyst time</w:t>
            </w:r>
          </w:p>
        </w:tc>
        <w:tc>
          <w:tcPr>
            <w:tcW w:type="dxa" w:w="3600"/>
          </w:tcPr>
          <w:p>
            <w:r>
              <w:rPr>
                <w:rFonts w:ascii="Calibri" w:hAnsi="Calibri"/>
                <w:b w:val="0"/>
                <w:i w:val="0"/>
                <w:sz w:val="19"/>
              </w:rPr>
              <w:t>Real-time AI scoring</w:t>
            </w:r>
          </w:p>
        </w:tc>
        <w:tc>
          <w:tcPr>
            <w:tcW w:type="dxa" w:w="2160"/>
          </w:tcPr>
          <w:p>
            <w:r>
              <w:rPr>
                <w:rFonts w:ascii="Calibri" w:hAnsi="Calibri"/>
                <w:b w:val="0"/>
                <w:i w:val="0"/>
                <w:sz w:val="19"/>
              </w:rPr>
              <w:t>Continuous</w:t>
            </w:r>
          </w:p>
        </w:tc>
      </w:tr>
      <w:tr>
        <w:tc>
          <w:tcPr>
            <w:tcW w:type="dxa" w:w="4320"/>
            <w:shd w:val="clear" w:color="auto" w:fill="EFF6FF"/>
          </w:tcPr>
          <w:p>
            <w:r>
              <w:rPr>
                <w:rFonts w:ascii="Calibri" w:hAnsi="Calibri"/>
                <w:b w:val="0"/>
                <w:i w:val="0"/>
                <w:sz w:val="19"/>
              </w:rPr>
              <w:t>Option business case</w:t>
            </w:r>
          </w:p>
        </w:tc>
        <w:tc>
          <w:tcPr>
            <w:tcW w:type="dxa" w:w="3600"/>
            <w:shd w:val="clear" w:color="auto" w:fill="EFF6FF"/>
          </w:tcPr>
          <w:p>
            <w:r>
              <w:rPr>
                <w:rFonts w:ascii="Calibri" w:hAnsi="Calibri"/>
                <w:b w:val="0"/>
                <w:i w:val="0"/>
                <w:sz w:val="19"/>
              </w:rPr>
              <w:t>1 week financial model</w:t>
            </w:r>
          </w:p>
        </w:tc>
        <w:tc>
          <w:tcPr>
            <w:tcW w:type="dxa" w:w="3600"/>
            <w:shd w:val="clear" w:color="auto" w:fill="EFF6FF"/>
          </w:tcPr>
          <w:p>
            <w:r>
              <w:rPr>
                <w:rFonts w:ascii="Calibri" w:hAnsi="Calibri"/>
                <w:b w:val="0"/>
                <w:i w:val="0"/>
                <w:sz w:val="19"/>
              </w:rPr>
              <w:t>1-day AI-generated</w:t>
            </w:r>
          </w:p>
        </w:tc>
        <w:tc>
          <w:tcPr>
            <w:tcW w:type="dxa" w:w="2160"/>
            <w:shd w:val="clear" w:color="auto" w:fill="EFF6FF"/>
          </w:tcPr>
          <w:p>
            <w:r>
              <w:rPr>
                <w:rFonts w:ascii="Calibri" w:hAnsi="Calibri"/>
                <w:b w:val="0"/>
                <w:i w:val="0"/>
                <w:sz w:val="19"/>
              </w:rPr>
              <w:t>5× faster</w:t>
            </w:r>
          </w:p>
        </w:tc>
      </w:tr>
      <w:tr>
        <w:tc>
          <w:tcPr>
            <w:tcW w:type="dxa" w:w="4320"/>
          </w:tcPr>
          <w:p>
            <w:r>
              <w:rPr>
                <w:rFonts w:ascii="Calibri" w:hAnsi="Calibri"/>
                <w:b w:val="0"/>
                <w:i w:val="0"/>
                <w:sz w:val="19"/>
              </w:rPr>
              <w:t>Benefits tracking</w:t>
            </w:r>
          </w:p>
        </w:tc>
        <w:tc>
          <w:tcPr>
            <w:tcW w:type="dxa" w:w="3600"/>
          </w:tcPr>
          <w:p>
            <w:r>
              <w:rPr>
                <w:rFonts w:ascii="Calibri" w:hAnsi="Calibri"/>
                <w:b w:val="0"/>
                <w:i w:val="0"/>
                <w:sz w:val="19"/>
              </w:rPr>
              <w:t>Monthly spreadsheet</w:t>
            </w:r>
          </w:p>
        </w:tc>
        <w:tc>
          <w:tcPr>
            <w:tcW w:type="dxa" w:w="3600"/>
          </w:tcPr>
          <w:p>
            <w:r>
              <w:rPr>
                <w:rFonts w:ascii="Calibri" w:hAnsi="Calibri"/>
                <w:b w:val="0"/>
                <w:i w:val="0"/>
                <w:sz w:val="19"/>
              </w:rPr>
              <w:t>Live dashboard</w:t>
            </w:r>
          </w:p>
        </w:tc>
        <w:tc>
          <w:tcPr>
            <w:tcW w:type="dxa" w:w="2160"/>
          </w:tcPr>
          <w:p>
            <w:r>
              <w:rPr>
                <w:rFonts w:ascii="Calibri" w:hAnsi="Calibri"/>
                <w:b w:val="0"/>
                <w:i w:val="0"/>
                <w:sz w:val="19"/>
              </w:rPr>
              <w:t>Real-time</w:t>
            </w:r>
          </w:p>
        </w:tc>
      </w:tr>
    </w:tbl>
    <w:p/>
    <w:p>
      <w:pPr>
        <w:spacing w:before="120" w:after="120"/>
        <w:pBdr>
          <w:bottom w:val="single" w:sz="6" w:space="1" w:color="2563EB"/>
        </w:pBdr>
      </w:pPr>
    </w:p>
    <w:p>
      <w:pPr>
        <w:spacing w:before="280" w:after="80"/>
      </w:pPr>
      <w:r>
        <w:rPr>
          <w:rFonts w:ascii="Calibri" w:hAnsi="Calibri"/>
          <w:b/>
          <w:i w:val="0"/>
          <w:color w:val="0F2D5E"/>
          <w:sz w:val="32"/>
        </w:rPr>
        <w:t>4. Delivery Standards &amp; Quality Gates</w:t>
      </w:r>
    </w:p>
    <w:p>
      <w:pPr>
        <w:spacing w:before="200" w:after="60"/>
      </w:pPr>
      <w:r>
        <w:rPr>
          <w:rFonts w:ascii="Calibri" w:hAnsi="Calibri"/>
          <w:b/>
          <w:i w:val="0"/>
          <w:color w:val="2563EB"/>
          <w:sz w:val="26"/>
        </w:rPr>
        <w:t>Phase 1 Exit Criteria</w:t>
      </w:r>
    </w:p>
    <w:p>
      <w:pPr>
        <w:pStyle w:val="ListBullet"/>
        <w:spacing w:after="40"/>
      </w:pPr>
      <w:r>
        <w:rPr>
          <w:rFonts w:ascii="Calibri" w:hAnsi="Calibri"/>
          <w:b w:val="0"/>
          <w:i w:val="0"/>
          <w:sz w:val="21"/>
        </w:rPr>
        <w:t>VSM validated by process owners (&gt;80% data accuracy)</w:t>
      </w:r>
    </w:p>
    <w:p>
      <w:pPr>
        <w:pStyle w:val="ListBullet"/>
        <w:spacing w:after="40"/>
      </w:pPr>
      <w:r>
        <w:rPr>
          <w:rFonts w:ascii="Calibri" w:hAnsi="Calibri"/>
          <w:b w:val="0"/>
          <w:i w:val="0"/>
          <w:sz w:val="21"/>
        </w:rPr>
        <w:t>Bottleneck register signed off by Product and Engineering leads</w:t>
      </w:r>
    </w:p>
    <w:p>
      <w:pPr>
        <w:pStyle w:val="ListBullet"/>
        <w:spacing w:after="40"/>
      </w:pPr>
      <w:r>
        <w:rPr>
          <w:rFonts w:ascii="Calibri" w:hAnsi="Calibri"/>
          <w:b w:val="0"/>
          <w:i w:val="0"/>
          <w:sz w:val="21"/>
        </w:rPr>
        <w:t>Executive findings readout delivered and accepted</w:t>
      </w:r>
    </w:p>
    <w:p>
      <w:pPr>
        <w:spacing w:before="200" w:after="60"/>
      </w:pPr>
      <w:r>
        <w:rPr>
          <w:rFonts w:ascii="Calibri" w:hAnsi="Calibri"/>
          <w:b/>
          <w:i w:val="0"/>
          <w:color w:val="2563EB"/>
          <w:sz w:val="26"/>
        </w:rPr>
        <w:t>Phase 2 Exit Criteria</w:t>
      </w:r>
    </w:p>
    <w:p>
      <w:pPr>
        <w:pStyle w:val="ListBullet"/>
        <w:spacing w:after="40"/>
      </w:pPr>
      <w:r>
        <w:rPr>
          <w:rFonts w:ascii="Calibri" w:hAnsi="Calibri"/>
          <w:b w:val="0"/>
          <w:i w:val="0"/>
          <w:sz w:val="21"/>
        </w:rPr>
        <w:t>Option selection made by executive sponsor</w:t>
      </w:r>
    </w:p>
    <w:p>
      <w:pPr>
        <w:pStyle w:val="ListBullet"/>
        <w:spacing w:after="40"/>
      </w:pPr>
      <w:r>
        <w:rPr>
          <w:rFonts w:ascii="Calibri" w:hAnsi="Calibri"/>
          <w:b w:val="0"/>
          <w:i w:val="0"/>
          <w:sz w:val="21"/>
        </w:rPr>
        <w:t>Business case approved by CFO or Finance delegate</w:t>
      </w:r>
    </w:p>
    <w:p>
      <w:pPr>
        <w:pStyle w:val="ListBullet"/>
        <w:spacing w:after="40"/>
      </w:pPr>
      <w:r>
        <w:rPr>
          <w:rFonts w:ascii="Calibri" w:hAnsi="Calibri"/>
          <w:b w:val="0"/>
          <w:i w:val="0"/>
          <w:sz w:val="21"/>
        </w:rPr>
        <w:t>Implementation charter signed</w:t>
      </w:r>
    </w:p>
    <w:p>
      <w:pPr>
        <w:spacing w:before="200" w:after="60"/>
      </w:pPr>
      <w:r>
        <w:rPr>
          <w:rFonts w:ascii="Calibri" w:hAnsi="Calibri"/>
          <w:b/>
          <w:i w:val="0"/>
          <w:color w:val="2563EB"/>
          <w:sz w:val="26"/>
        </w:rPr>
        <w:t>Phase 3 Exit Criteria</w:t>
      </w:r>
    </w:p>
    <w:p>
      <w:pPr>
        <w:pStyle w:val="ListBullet"/>
        <w:spacing w:after="40"/>
      </w:pPr>
      <w:r>
        <w:rPr>
          <w:rFonts w:ascii="Calibri" w:hAnsi="Calibri"/>
          <w:b w:val="0"/>
          <w:i w:val="0"/>
          <w:sz w:val="21"/>
        </w:rPr>
        <w:t>Platform live in production with active monitoring</w:t>
      </w:r>
    </w:p>
    <w:p>
      <w:pPr>
        <w:pStyle w:val="ListBullet"/>
        <w:spacing w:after="40"/>
      </w:pPr>
      <w:r>
        <w:rPr>
          <w:rFonts w:ascii="Calibri" w:hAnsi="Calibri"/>
          <w:b w:val="0"/>
          <w:i w:val="0"/>
          <w:sz w:val="21"/>
        </w:rPr>
        <w:t>Benefits baseline captured and first reporting cycle complete</w:t>
      </w:r>
    </w:p>
    <w:p>
      <w:pPr>
        <w:pStyle w:val="ListBullet"/>
        <w:spacing w:after="40"/>
      </w:pPr>
      <w:r>
        <w:rPr>
          <w:rFonts w:ascii="Calibri" w:hAnsi="Calibri"/>
          <w:b w:val="0"/>
          <w:i w:val="0"/>
          <w:sz w:val="21"/>
        </w:rPr>
        <w:t>Client team self-sufficient (dependency score &lt;20%)</w:t>
      </w:r>
    </w:p>
    <w:p>
      <w:pPr>
        <w:spacing w:before="200" w:after="60"/>
      </w:pPr>
      <w:r>
        <w:rPr>
          <w:rFonts w:ascii="Calibri" w:hAnsi="Calibri"/>
          <w:b/>
          <w:i w:val="0"/>
          <w:color w:val="2563EB"/>
          <w:sz w:val="26"/>
        </w:rPr>
        <w:t>The L1–L5 maturity ladder &amp; Target State Studio</w:t>
      </w:r>
    </w:p>
    <w:p>
      <w:pPr>
        <w:spacing w:after="80"/>
      </w:pPr>
      <w:r>
        <w:rPr>
          <w:rFonts w:ascii="Calibri" w:hAnsi="Calibri"/>
          <w:b w:val="0"/>
          <w:i w:val="0"/>
          <w:sz w:val="21"/>
        </w:rPr>
        <w:t>Scale delivery is organised around the L1–L5 ladder, from assisted prompting to autonomous ADLC. The Target State Studio configures the North-Star level and delivery platform, then generates the interim roadmap and operating model per step.</w:t>
      </w:r>
    </w:p>
    <w:p>
      <w:pPr>
        <w:pStyle w:val="ListBullet"/>
        <w:spacing w:after="40"/>
      </w:pPr>
      <w:r>
        <w:rPr>
          <w:rFonts w:ascii="Calibri" w:hAnsi="Calibri"/>
          <w:b w:val="0"/>
          <w:i w:val="0"/>
          <w:sz w:val="21"/>
        </w:rPr>
        <w:t>L1 Assisted Prompting (ML1 · Foundation) — agents: none; human-in-the-loop: all outputs; automation ~20%.</w:t>
      </w:r>
    </w:p>
    <w:p>
      <w:pPr>
        <w:pStyle w:val="ListBullet"/>
        <w:spacing w:after="40"/>
      </w:pPr>
      <w:r>
        <w:rPr>
          <w:rFonts w:ascii="Calibri" w:hAnsi="Calibri"/>
          <w:b w:val="0"/>
          <w:i w:val="0"/>
          <w:sz w:val="21"/>
        </w:rPr>
        <w:t>L2 Agent Co-pilots (assistive) (ML2 · Augmentation) — agents: assistant; human-in-the-loop: all outputs; automation ~40%.</w:t>
      </w:r>
    </w:p>
    <w:p>
      <w:pPr>
        <w:pStyle w:val="ListBullet"/>
        <w:spacing w:after="40"/>
      </w:pPr>
      <w:r>
        <w:rPr>
          <w:rFonts w:ascii="Calibri" w:hAnsi="Calibri"/>
          <w:b w:val="0"/>
          <w:i w:val="0"/>
          <w:sz w:val="21"/>
        </w:rPr>
        <w:t>L3 Supervised Independent Agents (ML3 · Automation) — agents: independent; human-in-the-loop: exceptions; automation ~62%.</w:t>
      </w:r>
    </w:p>
    <w:p>
      <w:pPr>
        <w:pStyle w:val="ListBullet"/>
        <w:spacing w:after="40"/>
      </w:pPr>
      <w:r>
        <w:rPr>
          <w:rFonts w:ascii="Calibri" w:hAnsi="Calibri"/>
          <w:b w:val="0"/>
          <w:i w:val="0"/>
          <w:sz w:val="21"/>
        </w:rPr>
        <w:t>L4 Orchestrated Agents (oversight) (ML4 · Transformation) — agents: orchestrated; human-in-the-loop: gates; automation ~78%.</w:t>
      </w:r>
    </w:p>
    <w:p>
      <w:pPr>
        <w:pStyle w:val="ListBullet"/>
        <w:spacing w:after="40"/>
      </w:pPr>
      <w:r>
        <w:rPr>
          <w:rFonts w:ascii="Calibri" w:hAnsi="Calibri"/>
          <w:b w:val="0"/>
          <w:i w:val="0"/>
          <w:sz w:val="21"/>
        </w:rPr>
        <w:t>L5 Autonomous ADLC (North Star) (ML5 · Reinvention) — agents: orchestrated; human-in-the-loop: strategic; automation ~90%.</w:t>
      </w:r>
    </w:p>
    <w:p>
      <w:pPr>
        <w:spacing w:before="200" w:after="60"/>
      </w:pPr>
      <w:r>
        <w:rPr>
          <w:rFonts w:ascii="Calibri" w:hAnsi="Calibri"/>
          <w:b/>
          <w:i w:val="0"/>
          <w:color w:val="2563EB"/>
          <w:sz w:val="26"/>
        </w:rPr>
        <w:t>Delivery platform options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F2D5E"/>
          </w:tcPr>
          <w:p>
            <w:pPr>
              <w:jc w:val="center"/>
            </w:pPr>
            <w:r>
              <w:rPr>
                <w:rFonts w:ascii="Calibri" w:hAnsi="Calibri"/>
                <w:b/>
                <w:i w:val="0"/>
                <w:color w:val="FFFFFF"/>
                <w:sz w:val="19"/>
              </w:rPr>
              <w:t>Platform</w:t>
            </w:r>
          </w:p>
        </w:tc>
        <w:tc>
          <w:tcPr>
            <w:tcW w:type="dxa" w:w="3135"/>
            <w:shd w:val="clear" w:color="auto" w:fill="0F2D5E"/>
          </w:tcPr>
          <w:p>
            <w:pPr>
              <w:jc w:val="center"/>
            </w:pPr>
            <w:r>
              <w:rPr>
                <w:rFonts w:ascii="Calibri" w:hAnsi="Calibri"/>
                <w:b/>
                <w:i w:val="0"/>
                <w:color w:val="FFFFFF"/>
                <w:sz w:val="19"/>
              </w:rPr>
              <w:t>Kind</w:t>
            </w:r>
          </w:p>
        </w:tc>
        <w:tc>
          <w:tcPr>
            <w:tcW w:type="dxa" w:w="3135"/>
            <w:shd w:val="clear" w:color="auto" w:fill="0F2D5E"/>
          </w:tcPr>
          <w:p>
            <w:pPr>
              <w:jc w:val="center"/>
            </w:pPr>
            <w:r>
              <w:rPr>
                <w:rFonts w:ascii="Calibri" w:hAnsi="Calibri"/>
                <w:b/>
                <w:i w:val="0"/>
                <w:color w:val="FFFFFF"/>
                <w:sz w:val="19"/>
              </w:rPr>
              <w:t>Ongoing cost (incl. agent/token)</w:t>
            </w:r>
          </w:p>
        </w:tc>
      </w:tr>
      <w:tr>
        <w:tc>
          <w:tcPr>
            <w:tcW w:type="dxa" w:w="3135"/>
            <w:shd w:val="clear" w:color="auto" w:fill="EFF6FF"/>
          </w:tcPr>
          <w:p>
            <w:r>
              <w:rPr>
                <w:rFonts w:ascii="Calibri" w:hAnsi="Calibri"/>
                <w:b w:val="0"/>
                <w:i w:val="0"/>
                <w:sz w:val="19"/>
              </w:rPr>
              <w:t>Home-grown / Custom Build</w:t>
            </w:r>
          </w:p>
        </w:tc>
        <w:tc>
          <w:tcPr>
            <w:tcW w:type="dxa" w:w="3135"/>
            <w:shd w:val="clear" w:color="auto" w:fill="EFF6FF"/>
          </w:tcPr>
          <w:p>
            <w:r>
              <w:rPr>
                <w:rFonts w:ascii="Calibri" w:hAnsi="Calibri"/>
                <w:b w:val="0"/>
                <w:i w:val="0"/>
                <w:sz w:val="19"/>
              </w:rPr>
              <w:t>Home-grown</w:t>
            </w:r>
          </w:p>
        </w:tc>
        <w:tc>
          <w:tcPr>
            <w:tcW w:type="dxa" w:w="3135"/>
            <w:shd w:val="clear" w:color="auto" w:fill="EFF6FF"/>
          </w:tcPr>
          <w:p>
            <w:r>
              <w:rPr>
                <w:rFonts w:ascii="Calibri" w:hAnsi="Calibri"/>
                <w:b w:val="0"/>
                <w:i w:val="0"/>
                <w:sz w:val="19"/>
              </w:rPr>
              <w:t>No licence; high agent/token spend + platform-engineering team (shared across pods)</w:t>
            </w:r>
          </w:p>
        </w:tc>
      </w:tr>
      <w:tr>
        <w:tc>
          <w:tcPr>
            <w:tcW w:type="dxa" w:w="3135"/>
          </w:tcPr>
          <w:p>
            <w:r>
              <w:rPr>
                <w:rFonts w:ascii="Calibri" w:hAnsi="Calibri"/>
                <w:b w:val="0"/>
                <w:i w:val="0"/>
                <w:sz w:val="19"/>
              </w:rPr>
              <w:t>BMAD Method</w:t>
            </w:r>
          </w:p>
        </w:tc>
        <w:tc>
          <w:tcPr>
            <w:tcW w:type="dxa" w:w="3135"/>
          </w:tcPr>
          <w:p>
            <w:r>
              <w:rPr>
                <w:rFonts w:ascii="Calibri" w:hAnsi="Calibri"/>
                <w:b w:val="0"/>
                <w:i w:val="0"/>
                <w:sz w:val="19"/>
              </w:rPr>
              <w:t>COTS</w:t>
            </w:r>
          </w:p>
        </w:tc>
        <w:tc>
          <w:tcPr>
            <w:tcW w:type="dxa" w:w="3135"/>
          </w:tcPr>
          <w:p>
            <w:r>
              <w:rPr>
                <w:rFonts w:ascii="Calibri" w:hAnsi="Calibri"/>
                <w:b w:val="0"/>
                <w:i w:val="0"/>
                <w:sz w:val="19"/>
              </w:rPr>
              <w:t>No licence; token spend + small ops pod</w:t>
            </w:r>
          </w:p>
        </w:tc>
      </w:tr>
      <w:tr>
        <w:tc>
          <w:tcPr>
            <w:tcW w:type="dxa" w:w="3135"/>
            <w:shd w:val="clear" w:color="auto" w:fill="EFF6FF"/>
          </w:tcPr>
          <w:p>
            <w:r>
              <w:rPr>
                <w:rFonts w:ascii="Calibri" w:hAnsi="Calibri"/>
                <w:b w:val="0"/>
                <w:i w:val="0"/>
                <w:sz w:val="19"/>
              </w:rPr>
              <w:t>GitHub Copilot Workspace</w:t>
            </w:r>
          </w:p>
        </w:tc>
        <w:tc>
          <w:tcPr>
            <w:tcW w:type="dxa" w:w="3135"/>
            <w:shd w:val="clear" w:color="auto" w:fill="EFF6FF"/>
          </w:tcPr>
          <w:p>
            <w:r>
              <w:rPr>
                <w:rFonts w:ascii="Calibri" w:hAnsi="Calibri"/>
                <w:b w:val="0"/>
                <w:i w:val="0"/>
                <w:sz w:val="19"/>
              </w:rPr>
              <w:t>COTS</w:t>
            </w:r>
          </w:p>
        </w:tc>
        <w:tc>
          <w:tcPr>
            <w:tcW w:type="dxa" w:w="3135"/>
            <w:shd w:val="clear" w:color="auto" w:fill="EFF6FF"/>
          </w:tcPr>
          <w:p>
            <w:r>
              <w:rPr>
                <w:rFonts w:ascii="Calibri" w:hAnsi="Calibri"/>
                <w:b w:val="0"/>
                <w:i w:val="0"/>
                <w:sz w:val="19"/>
              </w:rPr>
              <w:t>Per-seat licence + token spend</w:t>
            </w:r>
          </w:p>
        </w:tc>
      </w:tr>
      <w:tr>
        <w:tc>
          <w:tcPr>
            <w:tcW w:type="dxa" w:w="3135"/>
          </w:tcPr>
          <w:p>
            <w:r>
              <w:rPr>
                <w:rFonts w:ascii="Calibri" w:hAnsi="Calibri"/>
                <w:b w:val="0"/>
                <w:i w:val="0"/>
                <w:sz w:val="19"/>
              </w:rPr>
              <w:t>Devin (Cognition)</w:t>
            </w:r>
          </w:p>
        </w:tc>
        <w:tc>
          <w:tcPr>
            <w:tcW w:type="dxa" w:w="3135"/>
          </w:tcPr>
          <w:p>
            <w:r>
              <w:rPr>
                <w:rFonts w:ascii="Calibri" w:hAnsi="Calibri"/>
                <w:b w:val="0"/>
                <w:i w:val="0"/>
                <w:sz w:val="19"/>
              </w:rPr>
              <w:t>COTS</w:t>
            </w:r>
          </w:p>
        </w:tc>
        <w:tc>
          <w:tcPr>
            <w:tcW w:type="dxa" w:w="3135"/>
          </w:tcPr>
          <w:p>
            <w:r>
              <w:rPr>
                <w:rFonts w:ascii="Calibri" w:hAnsi="Calibri"/>
                <w:b w:val="0"/>
                <w:i w:val="0"/>
                <w:sz w:val="19"/>
              </w:rPr>
              <w:t>Per-seat/session licence + token spend + small ops pod</w:t>
            </w:r>
          </w:p>
        </w:tc>
      </w:tr>
      <w:tr>
        <w:tc>
          <w:tcPr>
            <w:tcW w:type="dxa" w:w="3135"/>
            <w:shd w:val="clear" w:color="auto" w:fill="EFF6FF"/>
          </w:tcPr>
          <w:p>
            <w:r>
              <w:rPr>
                <w:rFonts w:ascii="Calibri" w:hAnsi="Calibri"/>
                <w:b w:val="0"/>
                <w:i w:val="0"/>
                <w:sz w:val="19"/>
              </w:rPr>
              <w:t>Cursor (Anysphere)</w:t>
            </w:r>
          </w:p>
        </w:tc>
        <w:tc>
          <w:tcPr>
            <w:tcW w:type="dxa" w:w="3135"/>
            <w:shd w:val="clear" w:color="auto" w:fill="EFF6FF"/>
          </w:tcPr>
          <w:p>
            <w:r>
              <w:rPr>
                <w:rFonts w:ascii="Calibri" w:hAnsi="Calibri"/>
                <w:b w:val="0"/>
                <w:i w:val="0"/>
                <w:sz w:val="19"/>
              </w:rPr>
              <w:t>COTS</w:t>
            </w:r>
          </w:p>
        </w:tc>
        <w:tc>
          <w:tcPr>
            <w:tcW w:type="dxa" w:w="3135"/>
            <w:shd w:val="clear" w:color="auto" w:fill="EFF6FF"/>
          </w:tcPr>
          <w:p>
            <w:r>
              <w:rPr>
                <w:rFonts w:ascii="Calibri" w:hAnsi="Calibri"/>
                <w:b w:val="0"/>
                <w:i w:val="0"/>
                <w:sz w:val="19"/>
              </w:rPr>
              <w:t>Per-seat licence + token spend</w:t>
            </w:r>
          </w:p>
        </w:tc>
      </w:tr>
      <w:tr>
        <w:tc>
          <w:tcPr>
            <w:tcW w:type="dxa" w:w="3135"/>
          </w:tcPr>
          <w:p>
            <w:r>
              <w:rPr>
                <w:rFonts w:ascii="Calibri" w:hAnsi="Calibri"/>
                <w:b w:val="0"/>
                <w:i w:val="0"/>
                <w:sz w:val="19"/>
              </w:rPr>
              <w:t>Cognizant Flowsource</w:t>
            </w:r>
          </w:p>
        </w:tc>
        <w:tc>
          <w:tcPr>
            <w:tcW w:type="dxa" w:w="3135"/>
          </w:tcPr>
          <w:p>
            <w:r>
              <w:rPr>
                <w:rFonts w:ascii="Calibri" w:hAnsi="Calibri"/>
                <w:b w:val="0"/>
                <w:i w:val="0"/>
                <w:sz w:val="19"/>
              </w:rPr>
              <w:t>Service provider</w:t>
            </w:r>
          </w:p>
        </w:tc>
        <w:tc>
          <w:tcPr>
            <w:tcW w:type="dxa" w:w="3135"/>
          </w:tcPr>
          <w:p>
            <w:r>
              <w:rPr>
                <w:rFonts w:ascii="Calibri" w:hAnsi="Calibri"/>
                <w:b w:val="0"/>
                <w:i w:val="0"/>
                <w:sz w:val="19"/>
              </w:rPr>
              <w:t>Managed platform + services fee + token spend (smaller in-house team)</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