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1200"/>
      </w:pPr>
      <w:r>
        <w:rPr>
          <w:rFonts w:ascii="Calibri" w:hAnsi="Calibri"/>
          <w:b/>
          <w:i w:val="0"/>
          <w:color w:val="2563EB"/>
          <w:sz w:val="26"/>
        </w:rPr>
        <w:t>AI-Powered PDLC Transformation</w:t>
      </w:r>
    </w:p>
    <w:p/>
    <w:p>
      <w:r>
        <w:rPr>
          <w:rFonts w:ascii="Calibri" w:hAnsi="Calibri"/>
          <w:b/>
          <w:i w:val="0"/>
          <w:color w:val="0F2D5E"/>
          <w:sz w:val="44"/>
        </w:rPr>
        <w:t>AI-Powered PDLC Transformation</w:t>
        <w:br/>
        <w:t>Governance Model</w:t>
      </w:r>
    </w:p>
    <w:p/>
    <w:p>
      <w:r>
        <w:rPr>
          <w:rFonts w:ascii="Calibri" w:hAnsi="Calibri"/>
          <w:b w:val="0"/>
          <w:i/>
          <w:color w:val="1E408A"/>
          <w:sz w:val="24"/>
        </w:rPr>
        <w:t>Steering, Decision Rights &amp; Escalation Across All Three AI Options</w:t>
      </w:r>
    </w:p>
    <w:p/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2351"/>
        <w:gridCol w:w="2351"/>
        <w:gridCol w:w="2351"/>
        <w:gridCol w:w="2351"/>
      </w:tblGrid>
      <w:tr>
        <w:tc>
          <w:tcPr>
            <w:tcW w:type="dxa" w:w="3168"/>
            <w:shd w:val="clear" w:color="auto" w:fill="0F2D5E"/>
          </w:tcPr>
          <w:p>
            <w:pPr>
              <w:jc w:val="center"/>
            </w:pPr>
            <w:r>
              <w:rPr>
                <w:rFonts w:ascii="Calibri" w:hAnsi="Calibri"/>
                <w:b/>
                <w:i w:val="0"/>
                <w:color w:val="FFFFFF"/>
                <w:sz w:val="19"/>
              </w:rPr>
              <w:t>Document</w:t>
            </w:r>
          </w:p>
        </w:tc>
        <w:tc>
          <w:tcPr>
            <w:tcW w:type="dxa" w:w="1728"/>
            <w:shd w:val="clear" w:color="auto" w:fill="0F2D5E"/>
          </w:tcPr>
          <w:p>
            <w:pPr>
              <w:jc w:val="center"/>
            </w:pPr>
            <w:r>
              <w:rPr>
                <w:rFonts w:ascii="Calibri" w:hAnsi="Calibri"/>
                <w:b/>
                <w:i w:val="0"/>
                <w:color w:val="FFFFFF"/>
                <w:sz w:val="19"/>
              </w:rPr>
              <w:t>Version</w:t>
            </w:r>
          </w:p>
        </w:tc>
        <w:tc>
          <w:tcPr>
            <w:tcW w:type="dxa" w:w="2160"/>
            <w:shd w:val="clear" w:color="auto" w:fill="0F2D5E"/>
          </w:tcPr>
          <w:p>
            <w:pPr>
              <w:jc w:val="center"/>
            </w:pPr>
            <w:r>
              <w:rPr>
                <w:rFonts w:ascii="Calibri" w:hAnsi="Calibri"/>
                <w:b/>
                <w:i w:val="0"/>
                <w:color w:val="FFFFFF"/>
                <w:sz w:val="19"/>
              </w:rPr>
              <w:t>Date</w:t>
            </w:r>
          </w:p>
        </w:tc>
        <w:tc>
          <w:tcPr>
            <w:tcW w:type="dxa" w:w="2880"/>
            <w:shd w:val="clear" w:color="auto" w:fill="0F2D5E"/>
          </w:tcPr>
          <w:p>
            <w:pPr>
              <w:jc w:val="center"/>
            </w:pPr>
            <w:r>
              <w:rPr>
                <w:rFonts w:ascii="Calibri" w:hAnsi="Calibri"/>
                <w:b/>
                <w:i w:val="0"/>
                <w:color w:val="FFFFFF"/>
                <w:sz w:val="19"/>
              </w:rPr>
              <w:t>Classification</w:t>
            </w:r>
          </w:p>
        </w:tc>
      </w:tr>
      <w:tr>
        <w:tc>
          <w:tcPr>
            <w:tcW w:type="dxa" w:w="3168"/>
            <w:shd w:val="clear" w:color="auto" w:fill="EFF6FF"/>
          </w:tcPr>
          <w:p>
            <w:r>
              <w:rPr>
                <w:rFonts w:ascii="Calibri" w:hAnsi="Calibri"/>
                <w:b w:val="0"/>
                <w:i w:val="0"/>
                <w:sz w:val="19"/>
              </w:rPr>
              <w:t>Doc-24</w:t>
            </w:r>
          </w:p>
        </w:tc>
        <w:tc>
          <w:tcPr>
            <w:tcW w:type="dxa" w:w="1728"/>
            <w:shd w:val="clear" w:color="auto" w:fill="EFF6FF"/>
          </w:tcPr>
          <w:p>
            <w:r>
              <w:rPr>
                <w:rFonts w:ascii="Calibri" w:hAnsi="Calibri"/>
                <w:b w:val="0"/>
                <w:i w:val="0"/>
                <w:sz w:val="19"/>
              </w:rPr>
              <w:t>v2.0</w:t>
            </w:r>
          </w:p>
        </w:tc>
        <w:tc>
          <w:tcPr>
            <w:tcW w:type="dxa" w:w="2160"/>
            <w:shd w:val="clear" w:color="auto" w:fill="EFF6FF"/>
          </w:tcPr>
          <w:p>
            <w:r>
              <w:rPr>
                <w:rFonts w:ascii="Calibri" w:hAnsi="Calibri"/>
                <w:b w:val="0"/>
                <w:i w:val="0"/>
                <w:sz w:val="19"/>
              </w:rPr>
              <w:t>March 2026</w:t>
            </w:r>
          </w:p>
        </w:tc>
        <w:tc>
          <w:tcPr>
            <w:tcW w:type="dxa" w:w="2880"/>
            <w:shd w:val="clear" w:color="auto" w:fill="EFF6FF"/>
          </w:tcPr>
          <w:p>
            <w:r>
              <w:rPr>
                <w:rFonts w:ascii="Calibri" w:hAnsi="Calibri"/>
                <w:b w:val="0"/>
                <w:i w:val="0"/>
                <w:sz w:val="19"/>
              </w:rPr>
              <w:t>Confidential</w:t>
            </w:r>
          </w:p>
        </w:tc>
      </w:tr>
    </w:tbl>
    <w:p/>
    <w:p>
      <w:pPr>
        <w:spacing w:before="120" w:after="120"/>
        <w:ind w:left="480" w:right="480"/>
        <w:shd w:val="clear" w:color="auto" w:fill="DBEAFE"/>
      </w:pPr>
      <w:r>
        <w:rPr>
          <w:rFonts w:ascii="Calibri" w:hAnsi="Calibri"/>
          <w:b w:val="0"/>
          <w:i/>
          <w:color w:val="0F2D5E"/>
          <w:sz w:val="21"/>
        </w:rPr>
        <w:t>Consulting offering powered by STUMP — 5× faster delivery, AI-accurate insights, optimal cost.</w:t>
      </w:r>
    </w:p>
    <w:p>
      <w:r>
        <w:br w:type="page"/>
      </w:r>
    </w:p>
    <w:p>
      <w:pPr>
        <w:spacing w:before="280" w:after="80"/>
      </w:pPr>
      <w:r>
        <w:rPr>
          <w:rFonts w:ascii="Calibri" w:hAnsi="Calibri"/>
          <w:b/>
          <w:i w:val="0"/>
          <w:color w:val="0F2D5E"/>
          <w:sz w:val="32"/>
        </w:rPr>
        <w:t>1. Governance Philosophy</w:t>
      </w:r>
    </w:p>
    <w:p>
      <w:pPr>
        <w:spacing w:after="80"/>
      </w:pPr>
      <w:r>
        <w:rPr>
          <w:rFonts w:ascii="Calibri" w:hAnsi="Calibri"/>
          <w:b w:val="0"/>
          <w:i w:val="0"/>
          <w:sz w:val="21"/>
        </w:rPr>
        <w:t>Governance structures for AI-Powered PDLC Transformation are designed to match the human oversight model chosen. Option A governs AI-assisted decisions; Option B governs AI-autonomous steps with human gates; Option C governs AI-driven operations with human policy oversight.</w:t>
      </w:r>
    </w:p>
    <w:p>
      <w:pPr>
        <w:spacing w:before="120" w:after="120"/>
        <w:ind w:left="480" w:right="480"/>
        <w:shd w:val="clear" w:color="auto" w:fill="DBEAFE"/>
      </w:pPr>
      <w:r>
        <w:rPr>
          <w:rFonts w:ascii="Calibri" w:hAnsi="Calibri"/>
          <w:b w:val="0"/>
          <w:i/>
          <w:color w:val="0F2D5E"/>
          <w:sz w:val="21"/>
        </w:rPr>
        <w:t>Rule: governance complexity scales with AI autonomy. Option A needs lightweight review; Option C needs robust board-level AI policy oversight.</w:t>
      </w:r>
    </w:p>
    <w:p>
      <w:pPr>
        <w:spacing w:before="120" w:after="120"/>
        <w:pBdr>
          <w:bottom w:val="single" w:sz="6" w:space="1" w:color="2563EB"/>
        </w:pBdr>
      </w:pPr>
    </w:p>
    <w:p>
      <w:pPr>
        <w:spacing w:before="280" w:after="80"/>
      </w:pPr>
      <w:r>
        <w:rPr>
          <w:rFonts w:ascii="Calibri" w:hAnsi="Calibri"/>
          <w:b/>
          <w:i w:val="0"/>
          <w:color w:val="0F2D5E"/>
          <w:sz w:val="32"/>
        </w:rPr>
        <w:t>2. Governance Tiers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1568"/>
        <w:gridCol w:w="1568"/>
        <w:gridCol w:w="1568"/>
        <w:gridCol w:w="1568"/>
        <w:gridCol w:w="1568"/>
        <w:gridCol w:w="1568"/>
      </w:tblGrid>
      <w:tr>
        <w:tc>
          <w:tcPr>
            <w:tcW w:type="dxa" w:w="2016"/>
            <w:shd w:val="clear" w:color="auto" w:fill="0F2D5E"/>
          </w:tcPr>
          <w:p>
            <w:pPr>
              <w:jc w:val="center"/>
            </w:pPr>
            <w:r>
              <w:rPr>
                <w:rFonts w:ascii="Calibri" w:hAnsi="Calibri"/>
                <w:b/>
                <w:i w:val="0"/>
                <w:color w:val="FFFFFF"/>
                <w:sz w:val="19"/>
              </w:rPr>
              <w:t>Tier</w:t>
            </w:r>
          </w:p>
        </w:tc>
        <w:tc>
          <w:tcPr>
            <w:tcW w:type="dxa" w:w="4032"/>
            <w:shd w:val="clear" w:color="auto" w:fill="0F2D5E"/>
          </w:tcPr>
          <w:p>
            <w:pPr>
              <w:jc w:val="center"/>
            </w:pPr>
            <w:r>
              <w:rPr>
                <w:rFonts w:ascii="Calibri" w:hAnsi="Calibri"/>
                <w:b/>
                <w:i w:val="0"/>
                <w:color w:val="FFFFFF"/>
                <w:sz w:val="19"/>
              </w:rPr>
              <w:t>Body</w:t>
            </w:r>
          </w:p>
        </w:tc>
        <w:tc>
          <w:tcPr>
            <w:tcW w:type="dxa" w:w="2016"/>
            <w:shd w:val="clear" w:color="auto" w:fill="0F2D5E"/>
          </w:tcPr>
          <w:p>
            <w:pPr>
              <w:jc w:val="center"/>
            </w:pPr>
            <w:r>
              <w:rPr>
                <w:rFonts w:ascii="Calibri" w:hAnsi="Calibri"/>
                <w:b/>
                <w:i w:val="0"/>
                <w:color w:val="FFFFFF"/>
                <w:sz w:val="19"/>
              </w:rPr>
              <w:t>Cadence</w:t>
            </w:r>
          </w:p>
        </w:tc>
        <w:tc>
          <w:tcPr>
            <w:tcW w:type="dxa" w:w="2736"/>
            <w:shd w:val="clear" w:color="auto" w:fill="0F2D5E"/>
          </w:tcPr>
          <w:p>
            <w:pPr>
              <w:jc w:val="center"/>
            </w:pPr>
            <w:r>
              <w:rPr>
                <w:rFonts w:ascii="Calibri" w:hAnsi="Calibri"/>
                <w:b/>
                <w:i w:val="0"/>
                <w:color w:val="FFFFFF"/>
                <w:sz w:val="19"/>
              </w:rPr>
              <w:t>Option A</w:t>
            </w:r>
          </w:p>
        </w:tc>
        <w:tc>
          <w:tcPr>
            <w:tcW w:type="dxa" w:w="2736"/>
            <w:shd w:val="clear" w:color="auto" w:fill="0F2D5E"/>
          </w:tcPr>
          <w:p>
            <w:pPr>
              <w:jc w:val="center"/>
            </w:pPr>
            <w:r>
              <w:rPr>
                <w:rFonts w:ascii="Calibri" w:hAnsi="Calibri"/>
                <w:b/>
                <w:i w:val="0"/>
                <w:color w:val="FFFFFF"/>
                <w:sz w:val="19"/>
              </w:rPr>
              <w:t>Option B</w:t>
            </w:r>
          </w:p>
        </w:tc>
        <w:tc>
          <w:tcPr>
            <w:tcW w:type="dxa" w:w="2736"/>
            <w:shd w:val="clear" w:color="auto" w:fill="0F2D5E"/>
          </w:tcPr>
          <w:p>
            <w:pPr>
              <w:jc w:val="center"/>
            </w:pPr>
            <w:r>
              <w:rPr>
                <w:rFonts w:ascii="Calibri" w:hAnsi="Calibri"/>
                <w:b/>
                <w:i w:val="0"/>
                <w:color w:val="FFFFFF"/>
                <w:sz w:val="19"/>
              </w:rPr>
              <w:t>Option C</w:t>
            </w:r>
          </w:p>
        </w:tc>
      </w:tr>
      <w:tr>
        <w:tc>
          <w:tcPr>
            <w:tcW w:type="dxa" w:w="2016"/>
            <w:shd w:val="clear" w:color="auto" w:fill="EFF6FF"/>
          </w:tcPr>
          <w:p>
            <w:r>
              <w:rPr>
                <w:rFonts w:ascii="Calibri" w:hAnsi="Calibri"/>
                <w:b w:val="0"/>
                <w:i w:val="0"/>
                <w:sz w:val="19"/>
              </w:rPr>
              <w:t>1 — Strategic</w:t>
            </w:r>
          </w:p>
        </w:tc>
        <w:tc>
          <w:tcPr>
            <w:tcW w:type="dxa" w:w="4032"/>
            <w:shd w:val="clear" w:color="auto" w:fill="EFF6FF"/>
          </w:tcPr>
          <w:p>
            <w:r>
              <w:rPr>
                <w:rFonts w:ascii="Calibri" w:hAnsi="Calibri"/>
                <w:b w:val="0"/>
                <w:i w:val="0"/>
                <w:sz w:val="19"/>
              </w:rPr>
              <w:t>Executive Steering Committee</w:t>
            </w:r>
          </w:p>
        </w:tc>
        <w:tc>
          <w:tcPr>
            <w:tcW w:type="dxa" w:w="2016"/>
            <w:shd w:val="clear" w:color="auto" w:fill="EFF6FF"/>
          </w:tcPr>
          <w:p>
            <w:r>
              <w:rPr>
                <w:rFonts w:ascii="Calibri" w:hAnsi="Calibri"/>
                <w:b w:val="0"/>
                <w:i w:val="0"/>
                <w:sz w:val="19"/>
              </w:rPr>
              <w:t>Monthly</w:t>
            </w:r>
          </w:p>
        </w:tc>
        <w:tc>
          <w:tcPr>
            <w:tcW w:type="dxa" w:w="2736"/>
            <w:shd w:val="clear" w:color="auto" w:fill="EFF6FF"/>
          </w:tcPr>
          <w:p>
            <w:r>
              <w:rPr>
                <w:rFonts w:ascii="Calibri" w:hAnsi="Calibri"/>
                <w:b w:val="0"/>
                <w:i w:val="0"/>
                <w:sz w:val="19"/>
              </w:rPr>
              <w:t>AI initiative KPIs</w:t>
            </w:r>
          </w:p>
        </w:tc>
        <w:tc>
          <w:tcPr>
            <w:tcW w:type="dxa" w:w="2736"/>
            <w:shd w:val="clear" w:color="auto" w:fill="EFF6FF"/>
          </w:tcPr>
          <w:p>
            <w:r>
              <w:rPr>
                <w:rFonts w:ascii="Calibri" w:hAnsi="Calibri"/>
                <w:b w:val="0"/>
                <w:i w:val="0"/>
                <w:sz w:val="19"/>
              </w:rPr>
              <w:t>ROI + gate audit</w:t>
            </w:r>
          </w:p>
        </w:tc>
        <w:tc>
          <w:tcPr>
            <w:tcW w:type="dxa" w:w="2736"/>
            <w:shd w:val="clear" w:color="auto" w:fill="EFF6FF"/>
          </w:tcPr>
          <w:p>
            <w:r>
              <w:rPr>
                <w:rFonts w:ascii="Calibri" w:hAnsi="Calibri"/>
                <w:b w:val="0"/>
                <w:i w:val="0"/>
                <w:sz w:val="19"/>
              </w:rPr>
              <w:t>AI policy + risk</w:t>
            </w:r>
          </w:p>
        </w:tc>
      </w:tr>
      <w:tr>
        <w:tc>
          <w:tcPr>
            <w:tcW w:type="dxa" w:w="2016"/>
          </w:tcPr>
          <w:p>
            <w:r>
              <w:rPr>
                <w:rFonts w:ascii="Calibri" w:hAnsi="Calibri"/>
                <w:b w:val="0"/>
                <w:i w:val="0"/>
                <w:sz w:val="19"/>
              </w:rPr>
              <w:t>2 — Tactical</w:t>
            </w:r>
          </w:p>
        </w:tc>
        <w:tc>
          <w:tcPr>
            <w:tcW w:type="dxa" w:w="4032"/>
          </w:tcPr>
          <w:p>
            <w:r>
              <w:rPr>
                <w:rFonts w:ascii="Calibri" w:hAnsi="Calibri"/>
                <w:b w:val="0"/>
                <w:i w:val="0"/>
                <w:sz w:val="19"/>
              </w:rPr>
              <w:t>Transformation Programme Board</w:t>
            </w:r>
          </w:p>
        </w:tc>
        <w:tc>
          <w:tcPr>
            <w:tcW w:type="dxa" w:w="2016"/>
          </w:tcPr>
          <w:p>
            <w:r>
              <w:rPr>
                <w:rFonts w:ascii="Calibri" w:hAnsi="Calibri"/>
                <w:b w:val="0"/>
                <w:i w:val="0"/>
                <w:sz w:val="19"/>
              </w:rPr>
              <w:t>Bi-weekly</w:t>
            </w:r>
          </w:p>
        </w:tc>
        <w:tc>
          <w:tcPr>
            <w:tcW w:type="dxa" w:w="2736"/>
          </w:tcPr>
          <w:p>
            <w:r>
              <w:rPr>
                <w:rFonts w:ascii="Calibri" w:hAnsi="Calibri"/>
                <w:b w:val="0"/>
                <w:i w:val="0"/>
                <w:sz w:val="19"/>
              </w:rPr>
              <w:t>Sprint review</w:t>
            </w:r>
          </w:p>
        </w:tc>
        <w:tc>
          <w:tcPr>
            <w:tcW w:type="dxa" w:w="2736"/>
          </w:tcPr>
          <w:p>
            <w:r>
              <w:rPr>
                <w:rFonts w:ascii="Calibri" w:hAnsi="Calibri"/>
                <w:b w:val="0"/>
                <w:i w:val="0"/>
                <w:sz w:val="19"/>
              </w:rPr>
              <w:t>Autonomous agent log</w:t>
            </w:r>
          </w:p>
        </w:tc>
        <w:tc>
          <w:tcPr>
            <w:tcW w:type="dxa" w:w="2736"/>
          </w:tcPr>
          <w:p>
            <w:r>
              <w:rPr>
                <w:rFonts w:ascii="Calibri" w:hAnsi="Calibri"/>
                <w:b w:val="0"/>
                <w:i w:val="0"/>
                <w:sz w:val="19"/>
              </w:rPr>
              <w:t>Agent policy compliance</w:t>
            </w:r>
          </w:p>
        </w:tc>
      </w:tr>
      <w:tr>
        <w:tc>
          <w:tcPr>
            <w:tcW w:type="dxa" w:w="2016"/>
            <w:shd w:val="clear" w:color="auto" w:fill="EFF6FF"/>
          </w:tcPr>
          <w:p>
            <w:r>
              <w:rPr>
                <w:rFonts w:ascii="Calibri" w:hAnsi="Calibri"/>
                <w:b w:val="0"/>
                <w:i w:val="0"/>
                <w:sz w:val="19"/>
              </w:rPr>
              <w:t>3 — Operational</w:t>
            </w:r>
          </w:p>
        </w:tc>
        <w:tc>
          <w:tcPr>
            <w:tcW w:type="dxa" w:w="4032"/>
            <w:shd w:val="clear" w:color="auto" w:fill="EFF6FF"/>
          </w:tcPr>
          <w:p>
            <w:r>
              <w:rPr>
                <w:rFonts w:ascii="Calibri" w:hAnsi="Calibri"/>
                <w:b w:val="0"/>
                <w:i w:val="0"/>
                <w:sz w:val="19"/>
              </w:rPr>
              <w:t>PDLC Working Group</w:t>
            </w:r>
          </w:p>
        </w:tc>
        <w:tc>
          <w:tcPr>
            <w:tcW w:type="dxa" w:w="2016"/>
            <w:shd w:val="clear" w:color="auto" w:fill="EFF6FF"/>
          </w:tcPr>
          <w:p>
            <w:r>
              <w:rPr>
                <w:rFonts w:ascii="Calibri" w:hAnsi="Calibri"/>
                <w:b w:val="0"/>
                <w:i w:val="0"/>
                <w:sz w:val="19"/>
              </w:rPr>
              <w:t>Weekly</w:t>
            </w:r>
          </w:p>
        </w:tc>
        <w:tc>
          <w:tcPr>
            <w:tcW w:type="dxa" w:w="2736"/>
            <w:shd w:val="clear" w:color="auto" w:fill="EFF6FF"/>
          </w:tcPr>
          <w:p>
            <w:r>
              <w:rPr>
                <w:rFonts w:ascii="Calibri" w:hAnsi="Calibri"/>
                <w:b w:val="0"/>
                <w:i w:val="0"/>
                <w:sz w:val="19"/>
              </w:rPr>
              <w:t>Feature adoption</w:t>
            </w:r>
          </w:p>
        </w:tc>
        <w:tc>
          <w:tcPr>
            <w:tcW w:type="dxa" w:w="2736"/>
            <w:shd w:val="clear" w:color="auto" w:fill="EFF6FF"/>
          </w:tcPr>
          <w:p>
            <w:r>
              <w:rPr>
                <w:rFonts w:ascii="Calibri" w:hAnsi="Calibri"/>
                <w:b w:val="0"/>
                <w:i w:val="0"/>
                <w:sz w:val="19"/>
              </w:rPr>
              <w:t>Gate override log</w:t>
            </w:r>
          </w:p>
        </w:tc>
        <w:tc>
          <w:tcPr>
            <w:tcW w:type="dxa" w:w="2736"/>
            <w:shd w:val="clear" w:color="auto" w:fill="EFF6FF"/>
          </w:tcPr>
          <w:p>
            <w:r>
              <w:rPr>
                <w:rFonts w:ascii="Calibri" w:hAnsi="Calibri"/>
                <w:b w:val="0"/>
                <w:i w:val="0"/>
                <w:sz w:val="19"/>
              </w:rPr>
              <w:t>Anomaly review</w:t>
            </w:r>
          </w:p>
        </w:tc>
      </w:tr>
      <w:tr>
        <w:tc>
          <w:tcPr>
            <w:tcW w:type="dxa" w:w="2016"/>
          </w:tcPr>
          <w:p>
            <w:r>
              <w:rPr>
                <w:rFonts w:ascii="Calibri" w:hAnsi="Calibri"/>
                <w:b w:val="0"/>
                <w:i w:val="0"/>
                <w:sz w:val="19"/>
              </w:rPr>
              <w:t>4 — Technical</w:t>
            </w:r>
          </w:p>
        </w:tc>
        <w:tc>
          <w:tcPr>
            <w:tcW w:type="dxa" w:w="4032"/>
          </w:tcPr>
          <w:p>
            <w:r>
              <w:rPr>
                <w:rFonts w:ascii="Calibri" w:hAnsi="Calibri"/>
                <w:b w:val="0"/>
                <w:i w:val="0"/>
                <w:sz w:val="19"/>
              </w:rPr>
              <w:t>Platform Operations</w:t>
            </w:r>
          </w:p>
        </w:tc>
        <w:tc>
          <w:tcPr>
            <w:tcW w:type="dxa" w:w="2016"/>
          </w:tcPr>
          <w:p>
            <w:r>
              <w:rPr>
                <w:rFonts w:ascii="Calibri" w:hAnsi="Calibri"/>
                <w:b w:val="0"/>
                <w:i w:val="0"/>
                <w:sz w:val="19"/>
              </w:rPr>
              <w:t>Daily</w:t>
            </w:r>
          </w:p>
        </w:tc>
        <w:tc>
          <w:tcPr>
            <w:tcW w:type="dxa" w:w="2736"/>
          </w:tcPr>
          <w:p>
            <w:r>
              <w:rPr>
                <w:rFonts w:ascii="Calibri" w:hAnsi="Calibri"/>
                <w:b w:val="0"/>
                <w:i w:val="0"/>
                <w:sz w:val="19"/>
              </w:rPr>
              <w:t>Usage metrics</w:t>
            </w:r>
          </w:p>
        </w:tc>
        <w:tc>
          <w:tcPr>
            <w:tcW w:type="dxa" w:w="2736"/>
          </w:tcPr>
          <w:p>
            <w:r>
              <w:rPr>
                <w:rFonts w:ascii="Calibri" w:hAnsi="Calibri"/>
                <w:b w:val="0"/>
                <w:i w:val="0"/>
                <w:sz w:val="19"/>
              </w:rPr>
              <w:t>Agent performance</w:t>
            </w:r>
          </w:p>
        </w:tc>
        <w:tc>
          <w:tcPr>
            <w:tcW w:type="dxa" w:w="2736"/>
          </w:tcPr>
          <w:p>
            <w:r>
              <w:rPr>
                <w:rFonts w:ascii="Calibri" w:hAnsi="Calibri"/>
                <w:b w:val="0"/>
                <w:i w:val="0"/>
                <w:sz w:val="19"/>
              </w:rPr>
              <w:t>Full agent telemetry</w:t>
            </w:r>
          </w:p>
        </w:tc>
      </w:tr>
    </w:tbl>
    <w:p/>
    <w:p>
      <w:pPr>
        <w:spacing w:before="120" w:after="120"/>
        <w:pBdr>
          <w:bottom w:val="single" w:sz="6" w:space="1" w:color="2563EB"/>
        </w:pBdr>
      </w:pPr>
    </w:p>
    <w:p>
      <w:pPr>
        <w:spacing w:before="280" w:after="80"/>
      </w:pPr>
      <w:r>
        <w:rPr>
          <w:rFonts w:ascii="Calibri" w:hAnsi="Calibri"/>
          <w:b/>
          <w:i w:val="0"/>
          <w:color w:val="0F2D5E"/>
          <w:sz w:val="32"/>
        </w:rPr>
        <w:t>3. Decision Rights by Option</w:t>
      </w:r>
    </w:p>
    <w:p>
      <w:pPr>
        <w:spacing w:before="200" w:after="60"/>
      </w:pPr>
      <w:r>
        <w:rPr>
          <w:rFonts w:ascii="Calibri" w:hAnsi="Calibri"/>
          <w:b/>
          <w:i w:val="0"/>
          <w:color w:val="2563EB"/>
          <w:sz w:val="26"/>
        </w:rPr>
        <w:t>Option A — AI-Augmented (Human In the Loop)</w:t>
      </w:r>
    </w:p>
    <w:p>
      <w:pPr>
        <w:spacing w:after="80"/>
      </w:pPr>
      <w:r>
        <w:rPr>
          <w:rFonts w:ascii="Calibri" w:hAnsi="Calibri"/>
          <w:b w:val="0"/>
          <w:i w:val="0"/>
          <w:sz w:val="21"/>
        </w:rPr>
        <w:t>All AI recommendations require human sign-off before action. Decision rights remain fully with human roles; AI provides information and suggestions only.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2351"/>
        <w:gridCol w:w="2351"/>
        <w:gridCol w:w="2351"/>
        <w:gridCol w:w="2351"/>
      </w:tblGrid>
      <w:tr>
        <w:tc>
          <w:tcPr>
            <w:tcW w:type="dxa" w:w="4320"/>
            <w:shd w:val="clear" w:color="auto" w:fill="0F2D5E"/>
          </w:tcPr>
          <w:p>
            <w:pPr>
              <w:jc w:val="center"/>
            </w:pPr>
            <w:r>
              <w:rPr>
                <w:rFonts w:ascii="Calibri" w:hAnsi="Calibri"/>
                <w:b/>
                <w:i w:val="0"/>
                <w:color w:val="FFFFFF"/>
                <w:sz w:val="19"/>
              </w:rPr>
              <w:t>Decision</w:t>
            </w:r>
          </w:p>
        </w:tc>
        <w:tc>
          <w:tcPr>
            <w:tcW w:type="dxa" w:w="3600"/>
            <w:shd w:val="clear" w:color="auto" w:fill="0F2D5E"/>
          </w:tcPr>
          <w:p>
            <w:pPr>
              <w:jc w:val="center"/>
            </w:pPr>
            <w:r>
              <w:rPr>
                <w:rFonts w:ascii="Calibri" w:hAnsi="Calibri"/>
                <w:b/>
                <w:i w:val="0"/>
                <w:color w:val="FFFFFF"/>
                <w:sz w:val="19"/>
              </w:rPr>
              <w:t>AI Role</w:t>
            </w:r>
          </w:p>
        </w:tc>
        <w:tc>
          <w:tcPr>
            <w:tcW w:type="dxa" w:w="3600"/>
            <w:shd w:val="clear" w:color="auto" w:fill="0F2D5E"/>
          </w:tcPr>
          <w:p>
            <w:pPr>
              <w:jc w:val="center"/>
            </w:pPr>
            <w:r>
              <w:rPr>
                <w:rFonts w:ascii="Calibri" w:hAnsi="Calibri"/>
                <w:b/>
                <w:i w:val="0"/>
                <w:color w:val="FFFFFF"/>
                <w:sz w:val="19"/>
              </w:rPr>
              <w:t>Human Role</w:t>
            </w:r>
          </w:p>
        </w:tc>
        <w:tc>
          <w:tcPr>
            <w:tcW w:type="dxa" w:w="2880"/>
            <w:shd w:val="clear" w:color="auto" w:fill="0F2D5E"/>
          </w:tcPr>
          <w:p>
            <w:pPr>
              <w:jc w:val="center"/>
            </w:pPr>
            <w:r>
              <w:rPr>
                <w:rFonts w:ascii="Calibri" w:hAnsi="Calibri"/>
                <w:b/>
                <w:i w:val="0"/>
                <w:color w:val="FFFFFF"/>
                <w:sz w:val="19"/>
              </w:rPr>
              <w:t>Approval Level</w:t>
            </w:r>
          </w:p>
        </w:tc>
      </w:tr>
      <w:tr>
        <w:tc>
          <w:tcPr>
            <w:tcW w:type="dxa" w:w="4320"/>
            <w:shd w:val="clear" w:color="auto" w:fill="EFF6FF"/>
          </w:tcPr>
          <w:p>
            <w:r>
              <w:rPr>
                <w:rFonts w:ascii="Calibri" w:hAnsi="Calibri"/>
                <w:b w:val="0"/>
                <w:i w:val="0"/>
                <w:sz w:val="19"/>
              </w:rPr>
              <w:t>VSM bottleneck identification</w:t>
            </w:r>
          </w:p>
        </w:tc>
        <w:tc>
          <w:tcPr>
            <w:tcW w:type="dxa" w:w="3600"/>
            <w:shd w:val="clear" w:color="auto" w:fill="EFF6FF"/>
          </w:tcPr>
          <w:p>
            <w:r>
              <w:rPr>
                <w:rFonts w:ascii="Calibri" w:hAnsi="Calibri"/>
                <w:b w:val="0"/>
                <w:i w:val="0"/>
                <w:sz w:val="19"/>
              </w:rPr>
              <w:t>Generates ranked list</w:t>
            </w:r>
          </w:p>
        </w:tc>
        <w:tc>
          <w:tcPr>
            <w:tcW w:type="dxa" w:w="3600"/>
            <w:shd w:val="clear" w:color="auto" w:fill="EFF6FF"/>
          </w:tcPr>
          <w:p>
            <w:r>
              <w:rPr>
                <w:rFonts w:ascii="Calibri" w:hAnsi="Calibri"/>
                <w:b w:val="0"/>
                <w:i w:val="0"/>
                <w:sz w:val="19"/>
              </w:rPr>
              <w:t>Reviews and validates</w:t>
            </w:r>
          </w:p>
        </w:tc>
        <w:tc>
          <w:tcPr>
            <w:tcW w:type="dxa" w:w="2880"/>
            <w:shd w:val="clear" w:color="auto" w:fill="EFF6FF"/>
          </w:tcPr>
          <w:p>
            <w:r>
              <w:rPr>
                <w:rFonts w:ascii="Calibri" w:hAnsi="Calibri"/>
                <w:b w:val="0"/>
                <w:i w:val="0"/>
                <w:sz w:val="19"/>
              </w:rPr>
              <w:t>Team Lead</w:t>
            </w:r>
          </w:p>
        </w:tc>
      </w:tr>
      <w:tr>
        <w:tc>
          <w:tcPr>
            <w:tcW w:type="dxa" w:w="4320"/>
          </w:tcPr>
          <w:p>
            <w:r>
              <w:rPr>
                <w:rFonts w:ascii="Calibri" w:hAnsi="Calibri"/>
                <w:b w:val="0"/>
                <w:i w:val="0"/>
                <w:sz w:val="19"/>
              </w:rPr>
              <w:t>Option selection</w:t>
            </w:r>
          </w:p>
        </w:tc>
        <w:tc>
          <w:tcPr>
            <w:tcW w:type="dxa" w:w="3600"/>
          </w:tcPr>
          <w:p>
            <w:r>
              <w:rPr>
                <w:rFonts w:ascii="Calibri" w:hAnsi="Calibri"/>
                <w:b w:val="0"/>
                <w:i w:val="0"/>
                <w:sz w:val="19"/>
              </w:rPr>
              <w:t>Models 3 scenarios</w:t>
            </w:r>
          </w:p>
        </w:tc>
        <w:tc>
          <w:tcPr>
            <w:tcW w:type="dxa" w:w="3600"/>
          </w:tcPr>
          <w:p>
            <w:r>
              <w:rPr>
                <w:rFonts w:ascii="Calibri" w:hAnsi="Calibri"/>
                <w:b w:val="0"/>
                <w:i w:val="0"/>
                <w:sz w:val="19"/>
              </w:rPr>
              <w:t>Selects option</w:t>
            </w:r>
          </w:p>
        </w:tc>
        <w:tc>
          <w:tcPr>
            <w:tcW w:type="dxa" w:w="2880"/>
          </w:tcPr>
          <w:p>
            <w:r>
              <w:rPr>
                <w:rFonts w:ascii="Calibri" w:hAnsi="Calibri"/>
                <w:b w:val="0"/>
                <w:i w:val="0"/>
                <w:sz w:val="19"/>
              </w:rPr>
              <w:t>Executive Sponsor</w:t>
            </w:r>
          </w:p>
        </w:tc>
      </w:tr>
      <w:tr>
        <w:tc>
          <w:tcPr>
            <w:tcW w:type="dxa" w:w="4320"/>
            <w:shd w:val="clear" w:color="auto" w:fill="EFF6FF"/>
          </w:tcPr>
          <w:p>
            <w:r>
              <w:rPr>
                <w:rFonts w:ascii="Calibri" w:hAnsi="Calibri"/>
                <w:b w:val="0"/>
                <w:i w:val="0"/>
                <w:sz w:val="19"/>
              </w:rPr>
              <w:t>Process change</w:t>
            </w:r>
          </w:p>
        </w:tc>
        <w:tc>
          <w:tcPr>
            <w:tcW w:type="dxa" w:w="3600"/>
            <w:shd w:val="clear" w:color="auto" w:fill="EFF6FF"/>
          </w:tcPr>
          <w:p>
            <w:r>
              <w:rPr>
                <w:rFonts w:ascii="Calibri" w:hAnsi="Calibri"/>
                <w:b w:val="0"/>
                <w:i w:val="0"/>
                <w:sz w:val="19"/>
              </w:rPr>
              <w:t>Proposes change</w:t>
            </w:r>
          </w:p>
        </w:tc>
        <w:tc>
          <w:tcPr>
            <w:tcW w:type="dxa" w:w="3600"/>
            <w:shd w:val="clear" w:color="auto" w:fill="EFF6FF"/>
          </w:tcPr>
          <w:p>
            <w:r>
              <w:rPr>
                <w:rFonts w:ascii="Calibri" w:hAnsi="Calibri"/>
                <w:b w:val="0"/>
                <w:i w:val="0"/>
                <w:sz w:val="19"/>
              </w:rPr>
              <w:t>Approves change</w:t>
            </w:r>
          </w:p>
        </w:tc>
        <w:tc>
          <w:tcPr>
            <w:tcW w:type="dxa" w:w="2880"/>
            <w:shd w:val="clear" w:color="auto" w:fill="EFF6FF"/>
          </w:tcPr>
          <w:p>
            <w:r>
              <w:rPr>
                <w:rFonts w:ascii="Calibri" w:hAnsi="Calibri"/>
                <w:b w:val="0"/>
                <w:i w:val="0"/>
                <w:sz w:val="19"/>
              </w:rPr>
              <w:t>Process Owner</w:t>
            </w:r>
          </w:p>
        </w:tc>
      </w:tr>
      <w:tr>
        <w:tc>
          <w:tcPr>
            <w:tcW w:type="dxa" w:w="4320"/>
          </w:tcPr>
          <w:p>
            <w:r>
              <w:rPr>
                <w:rFonts w:ascii="Calibri" w:hAnsi="Calibri"/>
                <w:b w:val="0"/>
                <w:i w:val="0"/>
                <w:sz w:val="19"/>
              </w:rPr>
              <w:t>Benefits reporting</w:t>
            </w:r>
          </w:p>
        </w:tc>
        <w:tc>
          <w:tcPr>
            <w:tcW w:type="dxa" w:w="3600"/>
          </w:tcPr>
          <w:p>
            <w:r>
              <w:rPr>
                <w:rFonts w:ascii="Calibri" w:hAnsi="Calibri"/>
                <w:b w:val="0"/>
                <w:i w:val="0"/>
                <w:sz w:val="19"/>
              </w:rPr>
              <w:t>Compiles data</w:t>
            </w:r>
          </w:p>
        </w:tc>
        <w:tc>
          <w:tcPr>
            <w:tcW w:type="dxa" w:w="3600"/>
          </w:tcPr>
          <w:p>
            <w:r>
              <w:rPr>
                <w:rFonts w:ascii="Calibri" w:hAnsi="Calibri"/>
                <w:b w:val="0"/>
                <w:i w:val="0"/>
                <w:sz w:val="19"/>
              </w:rPr>
              <w:t>Validates and signs</w:t>
            </w:r>
          </w:p>
        </w:tc>
        <w:tc>
          <w:tcPr>
            <w:tcW w:type="dxa" w:w="2880"/>
          </w:tcPr>
          <w:p>
            <w:r>
              <w:rPr>
                <w:rFonts w:ascii="Calibri" w:hAnsi="Calibri"/>
                <w:b w:val="0"/>
                <w:i w:val="0"/>
                <w:sz w:val="19"/>
              </w:rPr>
              <w:t>Finance Director</w:t>
            </w:r>
          </w:p>
        </w:tc>
      </w:tr>
    </w:tbl>
    <w:p/>
    <w:p>
      <w:pPr>
        <w:spacing w:before="200" w:after="60"/>
      </w:pPr>
      <w:r>
        <w:rPr>
          <w:rFonts w:ascii="Calibri" w:hAnsi="Calibri"/>
          <w:b/>
          <w:i w:val="0"/>
          <w:color w:val="2563EB"/>
          <w:sz w:val="26"/>
        </w:rPr>
        <w:t>Option B — AI Agents + Human Gates (Human On the Loop) ★ RECOMMENDED</w:t>
      </w:r>
    </w:p>
    <w:p>
      <w:pPr>
        <w:spacing w:after="80"/>
      </w:pPr>
      <w:r>
        <w:rPr>
          <w:rFonts w:ascii="Calibri" w:hAnsi="Calibri"/>
          <w:b w:val="0"/>
          <w:i w:val="0"/>
          <w:sz w:val="21"/>
        </w:rPr>
        <w:t>AI agents execute defined steps autonomously. Humans review at pre-defined gates before the process advances. Override capability maintained at all times.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1881"/>
        <w:gridCol w:w="1881"/>
        <w:gridCol w:w="1881"/>
        <w:gridCol w:w="1881"/>
        <w:gridCol w:w="1881"/>
      </w:tblGrid>
      <w:tr>
        <w:tc>
          <w:tcPr>
            <w:tcW w:type="dxa" w:w="3168"/>
            <w:shd w:val="clear" w:color="auto" w:fill="0F2D5E"/>
          </w:tcPr>
          <w:p>
            <w:pPr>
              <w:jc w:val="center"/>
            </w:pPr>
            <w:r>
              <w:rPr>
                <w:rFonts w:ascii="Calibri" w:hAnsi="Calibri"/>
                <w:b/>
                <w:i w:val="0"/>
                <w:color w:val="FFFFFF"/>
                <w:sz w:val="19"/>
              </w:rPr>
              <w:t>Gate</w:t>
            </w:r>
          </w:p>
        </w:tc>
        <w:tc>
          <w:tcPr>
            <w:tcW w:type="dxa" w:w="3312"/>
            <w:shd w:val="clear" w:color="auto" w:fill="0F2D5E"/>
          </w:tcPr>
          <w:p>
            <w:pPr>
              <w:jc w:val="center"/>
            </w:pPr>
            <w:r>
              <w:rPr>
                <w:rFonts w:ascii="Calibri" w:hAnsi="Calibri"/>
                <w:b/>
                <w:i w:val="0"/>
                <w:color w:val="FFFFFF"/>
                <w:sz w:val="19"/>
              </w:rPr>
              <w:t>Trigger</w:t>
            </w:r>
          </w:p>
        </w:tc>
        <w:tc>
          <w:tcPr>
            <w:tcW w:type="dxa" w:w="2160"/>
            <w:shd w:val="clear" w:color="auto" w:fill="0F2D5E"/>
          </w:tcPr>
          <w:p>
            <w:pPr>
              <w:jc w:val="center"/>
            </w:pPr>
            <w:r>
              <w:rPr>
                <w:rFonts w:ascii="Calibri" w:hAnsi="Calibri"/>
                <w:b/>
                <w:i w:val="0"/>
                <w:color w:val="FFFFFF"/>
                <w:sz w:val="19"/>
              </w:rPr>
              <w:t>Review Window</w:t>
            </w:r>
          </w:p>
        </w:tc>
        <w:tc>
          <w:tcPr>
            <w:tcW w:type="dxa" w:w="2736"/>
            <w:shd w:val="clear" w:color="auto" w:fill="0F2D5E"/>
          </w:tcPr>
          <w:p>
            <w:pPr>
              <w:jc w:val="center"/>
            </w:pPr>
            <w:r>
              <w:rPr>
                <w:rFonts w:ascii="Calibri" w:hAnsi="Calibri"/>
                <w:b/>
                <w:i w:val="0"/>
                <w:color w:val="FFFFFF"/>
                <w:sz w:val="19"/>
              </w:rPr>
              <w:t>Approver</w:t>
            </w:r>
          </w:p>
        </w:tc>
        <w:tc>
          <w:tcPr>
            <w:tcW w:type="dxa" w:w="3600"/>
            <w:shd w:val="clear" w:color="auto" w:fill="0F2D5E"/>
          </w:tcPr>
          <w:p>
            <w:pPr>
              <w:jc w:val="center"/>
            </w:pPr>
            <w:r>
              <w:rPr>
                <w:rFonts w:ascii="Calibri" w:hAnsi="Calibri"/>
                <w:b/>
                <w:i w:val="0"/>
                <w:color w:val="FFFFFF"/>
                <w:sz w:val="19"/>
              </w:rPr>
              <w:t>Override Protocol</w:t>
            </w:r>
          </w:p>
        </w:tc>
      </w:tr>
      <w:tr>
        <w:tc>
          <w:tcPr>
            <w:tcW w:type="dxa" w:w="3168"/>
            <w:shd w:val="clear" w:color="auto" w:fill="EFF6FF"/>
          </w:tcPr>
          <w:p>
            <w:r>
              <w:rPr>
                <w:rFonts w:ascii="Calibri" w:hAnsi="Calibri"/>
                <w:b w:val="0"/>
                <w:i w:val="0"/>
                <w:sz w:val="19"/>
              </w:rPr>
              <w:t>G1 — VSM Complete</w:t>
            </w:r>
          </w:p>
        </w:tc>
        <w:tc>
          <w:tcPr>
            <w:tcW w:type="dxa" w:w="3312"/>
            <w:shd w:val="clear" w:color="auto" w:fill="EFF6FF"/>
          </w:tcPr>
          <w:p>
            <w:r>
              <w:rPr>
                <w:rFonts w:ascii="Calibri" w:hAnsi="Calibri"/>
                <w:b w:val="0"/>
                <w:i w:val="0"/>
                <w:sz w:val="19"/>
              </w:rPr>
              <w:t>Agent finishes VSM</w:t>
            </w:r>
          </w:p>
        </w:tc>
        <w:tc>
          <w:tcPr>
            <w:tcW w:type="dxa" w:w="2160"/>
            <w:shd w:val="clear" w:color="auto" w:fill="EFF6FF"/>
          </w:tcPr>
          <w:p>
            <w:r>
              <w:rPr>
                <w:rFonts w:ascii="Calibri" w:hAnsi="Calibri"/>
                <w:b w:val="0"/>
                <w:i w:val="0"/>
                <w:sz w:val="19"/>
              </w:rPr>
              <w:t>24 hours</w:t>
            </w:r>
          </w:p>
        </w:tc>
        <w:tc>
          <w:tcPr>
            <w:tcW w:type="dxa" w:w="2736"/>
            <w:shd w:val="clear" w:color="auto" w:fill="EFF6FF"/>
          </w:tcPr>
          <w:p>
            <w:r>
              <w:rPr>
                <w:rFonts w:ascii="Calibri" w:hAnsi="Calibri"/>
                <w:b w:val="0"/>
                <w:i w:val="0"/>
                <w:sz w:val="19"/>
              </w:rPr>
              <w:t>Product Director</w:t>
            </w:r>
          </w:p>
        </w:tc>
        <w:tc>
          <w:tcPr>
            <w:tcW w:type="dxa" w:w="3600"/>
            <w:shd w:val="clear" w:color="auto" w:fill="EFF6FF"/>
          </w:tcPr>
          <w:p>
            <w:r>
              <w:rPr>
                <w:rFonts w:ascii="Calibri" w:hAnsi="Calibri"/>
                <w:b w:val="0"/>
                <w:i w:val="0"/>
                <w:sz w:val="19"/>
              </w:rPr>
              <w:t>Manual review mode</w:t>
            </w:r>
          </w:p>
        </w:tc>
      </w:tr>
      <w:tr>
        <w:tc>
          <w:tcPr>
            <w:tcW w:type="dxa" w:w="3168"/>
          </w:tcPr>
          <w:p>
            <w:r>
              <w:rPr>
                <w:rFonts w:ascii="Calibri" w:hAnsi="Calibri"/>
                <w:b w:val="0"/>
                <w:i w:val="0"/>
                <w:sz w:val="19"/>
              </w:rPr>
              <w:t>G2 — Options Ready</w:t>
            </w:r>
          </w:p>
        </w:tc>
        <w:tc>
          <w:tcPr>
            <w:tcW w:type="dxa" w:w="3312"/>
          </w:tcPr>
          <w:p>
            <w:r>
              <w:rPr>
                <w:rFonts w:ascii="Calibri" w:hAnsi="Calibri"/>
                <w:b w:val="0"/>
                <w:i w:val="0"/>
                <w:sz w:val="19"/>
              </w:rPr>
              <w:t>Business cases generated</w:t>
            </w:r>
          </w:p>
        </w:tc>
        <w:tc>
          <w:tcPr>
            <w:tcW w:type="dxa" w:w="2160"/>
          </w:tcPr>
          <w:p>
            <w:r>
              <w:rPr>
                <w:rFonts w:ascii="Calibri" w:hAnsi="Calibri"/>
                <w:b w:val="0"/>
                <w:i w:val="0"/>
                <w:sz w:val="19"/>
              </w:rPr>
              <w:t>48 hours</w:t>
            </w:r>
          </w:p>
        </w:tc>
        <w:tc>
          <w:tcPr>
            <w:tcW w:type="dxa" w:w="2736"/>
          </w:tcPr>
          <w:p>
            <w:r>
              <w:rPr>
                <w:rFonts w:ascii="Calibri" w:hAnsi="Calibri"/>
                <w:b w:val="0"/>
                <w:i w:val="0"/>
                <w:sz w:val="19"/>
              </w:rPr>
              <w:t>CFO/VP Finance</w:t>
            </w:r>
          </w:p>
        </w:tc>
        <w:tc>
          <w:tcPr>
            <w:tcW w:type="dxa" w:w="3600"/>
          </w:tcPr>
          <w:p>
            <w:r>
              <w:rPr>
                <w:rFonts w:ascii="Calibri" w:hAnsi="Calibri"/>
                <w:b w:val="0"/>
                <w:i w:val="0"/>
                <w:sz w:val="19"/>
              </w:rPr>
              <w:t>Reject to Phase 1</w:t>
            </w:r>
          </w:p>
        </w:tc>
      </w:tr>
      <w:tr>
        <w:tc>
          <w:tcPr>
            <w:tcW w:type="dxa" w:w="3168"/>
            <w:shd w:val="clear" w:color="auto" w:fill="EFF6FF"/>
          </w:tcPr>
          <w:p>
            <w:r>
              <w:rPr>
                <w:rFonts w:ascii="Calibri" w:hAnsi="Calibri"/>
                <w:b w:val="0"/>
                <w:i w:val="0"/>
                <w:sz w:val="19"/>
              </w:rPr>
              <w:t>G3 — Config Complete</w:t>
            </w:r>
          </w:p>
        </w:tc>
        <w:tc>
          <w:tcPr>
            <w:tcW w:type="dxa" w:w="3312"/>
            <w:shd w:val="clear" w:color="auto" w:fill="EFF6FF"/>
          </w:tcPr>
          <w:p>
            <w:r>
              <w:rPr>
                <w:rFonts w:ascii="Calibri" w:hAnsi="Calibri"/>
                <w:b w:val="0"/>
                <w:i w:val="0"/>
                <w:sz w:val="19"/>
              </w:rPr>
              <w:t>Platform configured</w:t>
            </w:r>
          </w:p>
        </w:tc>
        <w:tc>
          <w:tcPr>
            <w:tcW w:type="dxa" w:w="2160"/>
            <w:shd w:val="clear" w:color="auto" w:fill="EFF6FF"/>
          </w:tcPr>
          <w:p>
            <w:r>
              <w:rPr>
                <w:rFonts w:ascii="Calibri" w:hAnsi="Calibri"/>
                <w:b w:val="0"/>
                <w:i w:val="0"/>
                <w:sz w:val="19"/>
              </w:rPr>
              <w:t>24 hours</w:t>
            </w:r>
          </w:p>
        </w:tc>
        <w:tc>
          <w:tcPr>
            <w:tcW w:type="dxa" w:w="2736"/>
            <w:shd w:val="clear" w:color="auto" w:fill="EFF6FF"/>
          </w:tcPr>
          <w:p>
            <w:r>
              <w:rPr>
                <w:rFonts w:ascii="Calibri" w:hAnsi="Calibri"/>
                <w:b w:val="0"/>
                <w:i w:val="0"/>
                <w:sz w:val="19"/>
              </w:rPr>
              <w:t>CTO/VP Eng</w:t>
            </w:r>
          </w:p>
        </w:tc>
        <w:tc>
          <w:tcPr>
            <w:tcW w:type="dxa" w:w="3600"/>
            <w:shd w:val="clear" w:color="auto" w:fill="EFF6FF"/>
          </w:tcPr>
          <w:p>
            <w:r>
              <w:rPr>
                <w:rFonts w:ascii="Calibri" w:hAnsi="Calibri"/>
                <w:b w:val="0"/>
                <w:i w:val="0"/>
                <w:sz w:val="19"/>
              </w:rPr>
              <w:t>Config hold</w:t>
            </w:r>
          </w:p>
        </w:tc>
      </w:tr>
      <w:tr>
        <w:tc>
          <w:tcPr>
            <w:tcW w:type="dxa" w:w="3168"/>
          </w:tcPr>
          <w:p>
            <w:r>
              <w:rPr>
                <w:rFonts w:ascii="Calibri" w:hAnsi="Calibri"/>
                <w:b w:val="0"/>
                <w:i w:val="0"/>
                <w:sz w:val="19"/>
              </w:rPr>
              <w:t>G4 — Go Live</w:t>
            </w:r>
          </w:p>
        </w:tc>
        <w:tc>
          <w:tcPr>
            <w:tcW w:type="dxa" w:w="3312"/>
          </w:tcPr>
          <w:p>
            <w:r>
              <w:rPr>
                <w:rFonts w:ascii="Calibri" w:hAnsi="Calibri"/>
                <w:b w:val="0"/>
                <w:i w:val="0"/>
                <w:sz w:val="19"/>
              </w:rPr>
              <w:t>Parallel run passed</w:t>
            </w:r>
          </w:p>
        </w:tc>
        <w:tc>
          <w:tcPr>
            <w:tcW w:type="dxa" w:w="2160"/>
          </w:tcPr>
          <w:p>
            <w:r>
              <w:rPr>
                <w:rFonts w:ascii="Calibri" w:hAnsi="Calibri"/>
                <w:b w:val="0"/>
                <w:i w:val="0"/>
                <w:sz w:val="19"/>
              </w:rPr>
              <w:t>24 hours</w:t>
            </w:r>
          </w:p>
        </w:tc>
        <w:tc>
          <w:tcPr>
            <w:tcW w:type="dxa" w:w="2736"/>
          </w:tcPr>
          <w:p>
            <w:r>
              <w:rPr>
                <w:rFonts w:ascii="Calibri" w:hAnsi="Calibri"/>
                <w:b w:val="0"/>
                <w:i w:val="0"/>
                <w:sz w:val="19"/>
              </w:rPr>
              <w:t>Executive Sponsor</w:t>
            </w:r>
          </w:p>
        </w:tc>
        <w:tc>
          <w:tcPr>
            <w:tcW w:type="dxa" w:w="3600"/>
          </w:tcPr>
          <w:p>
            <w:r>
              <w:rPr>
                <w:rFonts w:ascii="Calibri" w:hAnsi="Calibri"/>
                <w:b w:val="0"/>
                <w:i w:val="0"/>
                <w:sz w:val="19"/>
              </w:rPr>
              <w:t>Extend parallel run</w:t>
            </w:r>
          </w:p>
        </w:tc>
      </w:tr>
    </w:tbl>
    <w:p/>
    <w:p>
      <w:pPr>
        <w:spacing w:before="200" w:after="60"/>
      </w:pPr>
      <w:r>
        <w:rPr>
          <w:rFonts w:ascii="Calibri" w:hAnsi="Calibri"/>
          <w:b/>
          <w:i w:val="0"/>
          <w:color w:val="2563EB"/>
          <w:sz w:val="26"/>
        </w:rPr>
        <w:t>Option C — Fully Agentic (Human Above the Loop)</w:t>
      </w:r>
    </w:p>
    <w:p>
      <w:pPr>
        <w:spacing w:after="80"/>
      </w:pPr>
      <w:r>
        <w:rPr>
          <w:rFonts w:ascii="Calibri" w:hAnsi="Calibri"/>
          <w:b w:val="0"/>
          <w:i w:val="0"/>
          <w:sz w:val="21"/>
        </w:rPr>
        <w:t>AI agents operate continuously and autonomously. Humans set policy, define boundaries, and review exceptions. Governance focuses on AI policy compliance, not individual decisions.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2351"/>
        <w:gridCol w:w="2351"/>
        <w:gridCol w:w="2351"/>
        <w:gridCol w:w="2351"/>
      </w:tblGrid>
      <w:tr>
        <w:tc>
          <w:tcPr>
            <w:tcW w:type="dxa" w:w="3600"/>
            <w:shd w:val="clear" w:color="auto" w:fill="0F2D5E"/>
          </w:tcPr>
          <w:p>
            <w:pPr>
              <w:jc w:val="center"/>
            </w:pPr>
            <w:r>
              <w:rPr>
                <w:rFonts w:ascii="Calibri" w:hAnsi="Calibri"/>
                <w:b/>
                <w:i w:val="0"/>
                <w:color w:val="FFFFFF"/>
                <w:sz w:val="19"/>
              </w:rPr>
              <w:t>Policy Domain</w:t>
            </w:r>
          </w:p>
        </w:tc>
        <w:tc>
          <w:tcPr>
            <w:tcW w:type="dxa" w:w="2880"/>
            <w:shd w:val="clear" w:color="auto" w:fill="0F2D5E"/>
          </w:tcPr>
          <w:p>
            <w:pPr>
              <w:jc w:val="center"/>
            </w:pPr>
            <w:r>
              <w:rPr>
                <w:rFonts w:ascii="Calibri" w:hAnsi="Calibri"/>
                <w:b/>
                <w:i w:val="0"/>
                <w:color w:val="FFFFFF"/>
                <w:sz w:val="19"/>
              </w:rPr>
              <w:t>Policy Owner</w:t>
            </w:r>
          </w:p>
        </w:tc>
        <w:tc>
          <w:tcPr>
            <w:tcW w:type="dxa" w:w="2592"/>
            <w:shd w:val="clear" w:color="auto" w:fill="0F2D5E"/>
          </w:tcPr>
          <w:p>
            <w:pPr>
              <w:jc w:val="center"/>
            </w:pPr>
            <w:r>
              <w:rPr>
                <w:rFonts w:ascii="Calibri" w:hAnsi="Calibri"/>
                <w:b/>
                <w:i w:val="0"/>
                <w:color w:val="FFFFFF"/>
                <w:sz w:val="19"/>
              </w:rPr>
              <w:t>Review Cadence</w:t>
            </w:r>
          </w:p>
        </w:tc>
        <w:tc>
          <w:tcPr>
            <w:tcW w:type="dxa" w:w="4608"/>
            <w:shd w:val="clear" w:color="auto" w:fill="0F2D5E"/>
          </w:tcPr>
          <w:p>
            <w:pPr>
              <w:jc w:val="center"/>
            </w:pPr>
            <w:r>
              <w:rPr>
                <w:rFonts w:ascii="Calibri" w:hAnsi="Calibri"/>
                <w:b/>
                <w:i w:val="0"/>
                <w:color w:val="FFFFFF"/>
                <w:sz w:val="19"/>
              </w:rPr>
              <w:t>AI Constraint</w:t>
            </w:r>
          </w:p>
        </w:tc>
      </w:tr>
      <w:tr>
        <w:tc>
          <w:tcPr>
            <w:tcW w:type="dxa" w:w="3600"/>
            <w:shd w:val="clear" w:color="auto" w:fill="EFF6FF"/>
          </w:tcPr>
          <w:p>
            <w:r>
              <w:rPr>
                <w:rFonts w:ascii="Calibri" w:hAnsi="Calibri"/>
                <w:b w:val="0"/>
                <w:i w:val="0"/>
                <w:sz w:val="19"/>
              </w:rPr>
              <w:t>Quality thresholds</w:t>
            </w:r>
          </w:p>
        </w:tc>
        <w:tc>
          <w:tcPr>
            <w:tcW w:type="dxa" w:w="2880"/>
            <w:shd w:val="clear" w:color="auto" w:fill="EFF6FF"/>
          </w:tcPr>
          <w:p>
            <w:r>
              <w:rPr>
                <w:rFonts w:ascii="Calibri" w:hAnsi="Calibri"/>
                <w:b w:val="0"/>
                <w:i w:val="0"/>
                <w:sz w:val="19"/>
              </w:rPr>
              <w:t>VP Engineering</w:t>
            </w:r>
          </w:p>
        </w:tc>
        <w:tc>
          <w:tcPr>
            <w:tcW w:type="dxa" w:w="2592"/>
            <w:shd w:val="clear" w:color="auto" w:fill="EFF6FF"/>
          </w:tcPr>
          <w:p>
            <w:r>
              <w:rPr>
                <w:rFonts w:ascii="Calibri" w:hAnsi="Calibri"/>
                <w:b w:val="0"/>
                <w:i w:val="0"/>
                <w:sz w:val="19"/>
              </w:rPr>
              <w:t>Monthly</w:t>
            </w:r>
          </w:p>
        </w:tc>
        <w:tc>
          <w:tcPr>
            <w:tcW w:type="dxa" w:w="4608"/>
            <w:shd w:val="clear" w:color="auto" w:fill="EFF6FF"/>
          </w:tcPr>
          <w:p>
            <w:r>
              <w:rPr>
                <w:rFonts w:ascii="Calibri" w:hAnsi="Calibri"/>
                <w:b w:val="0"/>
                <w:i w:val="0"/>
                <w:sz w:val="19"/>
              </w:rPr>
              <w:t>Halt if defect rate &gt;5%</w:t>
            </w:r>
          </w:p>
        </w:tc>
      </w:tr>
      <w:tr>
        <w:tc>
          <w:tcPr>
            <w:tcW w:type="dxa" w:w="3600"/>
          </w:tcPr>
          <w:p>
            <w:r>
              <w:rPr>
                <w:rFonts w:ascii="Calibri" w:hAnsi="Calibri"/>
                <w:b w:val="0"/>
                <w:i w:val="0"/>
                <w:sz w:val="19"/>
              </w:rPr>
              <w:t>Security gates</w:t>
            </w:r>
          </w:p>
        </w:tc>
        <w:tc>
          <w:tcPr>
            <w:tcW w:type="dxa" w:w="2880"/>
          </w:tcPr>
          <w:p>
            <w:r>
              <w:rPr>
                <w:rFonts w:ascii="Calibri" w:hAnsi="Calibri"/>
                <w:b w:val="0"/>
                <w:i w:val="0"/>
                <w:sz w:val="19"/>
              </w:rPr>
              <w:t>CISO</w:t>
            </w:r>
          </w:p>
        </w:tc>
        <w:tc>
          <w:tcPr>
            <w:tcW w:type="dxa" w:w="2592"/>
          </w:tcPr>
          <w:p>
            <w:r>
              <w:rPr>
                <w:rFonts w:ascii="Calibri" w:hAnsi="Calibri"/>
                <w:b w:val="0"/>
                <w:i w:val="0"/>
                <w:sz w:val="19"/>
              </w:rPr>
              <w:t>Weekly</w:t>
            </w:r>
          </w:p>
        </w:tc>
        <w:tc>
          <w:tcPr>
            <w:tcW w:type="dxa" w:w="4608"/>
          </w:tcPr>
          <w:p>
            <w:r>
              <w:rPr>
                <w:rFonts w:ascii="Calibri" w:hAnsi="Calibri"/>
                <w:b w:val="0"/>
                <w:i w:val="0"/>
                <w:sz w:val="19"/>
              </w:rPr>
              <w:t>Zero-bypass security checks</w:t>
            </w:r>
          </w:p>
        </w:tc>
      </w:tr>
      <w:tr>
        <w:tc>
          <w:tcPr>
            <w:tcW w:type="dxa" w:w="3600"/>
            <w:shd w:val="clear" w:color="auto" w:fill="EFF6FF"/>
          </w:tcPr>
          <w:p>
            <w:r>
              <w:rPr>
                <w:rFonts w:ascii="Calibri" w:hAnsi="Calibri"/>
                <w:b w:val="0"/>
                <w:i w:val="0"/>
                <w:sz w:val="19"/>
              </w:rPr>
              <w:t>Spend authority</w:t>
            </w:r>
          </w:p>
        </w:tc>
        <w:tc>
          <w:tcPr>
            <w:tcW w:type="dxa" w:w="2880"/>
            <w:shd w:val="clear" w:color="auto" w:fill="EFF6FF"/>
          </w:tcPr>
          <w:p>
            <w:r>
              <w:rPr>
                <w:rFonts w:ascii="Calibri" w:hAnsi="Calibri"/>
                <w:b w:val="0"/>
                <w:i w:val="0"/>
                <w:sz w:val="19"/>
              </w:rPr>
              <w:t>CFO</w:t>
            </w:r>
          </w:p>
        </w:tc>
        <w:tc>
          <w:tcPr>
            <w:tcW w:type="dxa" w:w="2592"/>
            <w:shd w:val="clear" w:color="auto" w:fill="EFF6FF"/>
          </w:tcPr>
          <w:p>
            <w:r>
              <w:rPr>
                <w:rFonts w:ascii="Calibri" w:hAnsi="Calibri"/>
                <w:b w:val="0"/>
                <w:i w:val="0"/>
                <w:sz w:val="19"/>
              </w:rPr>
              <w:t>Monthly</w:t>
            </w:r>
          </w:p>
        </w:tc>
        <w:tc>
          <w:tcPr>
            <w:tcW w:type="dxa" w:w="4608"/>
            <w:shd w:val="clear" w:color="auto" w:fill="EFF6FF"/>
          </w:tcPr>
          <w:p>
            <w:r>
              <w:rPr>
                <w:rFonts w:ascii="Calibri" w:hAnsi="Calibri"/>
                <w:b w:val="0"/>
                <w:i w:val="0"/>
                <w:sz w:val="19"/>
              </w:rPr>
              <w:t>Auto-reject if &gt;$50K delta</w:t>
            </w:r>
          </w:p>
        </w:tc>
      </w:tr>
      <w:tr>
        <w:tc>
          <w:tcPr>
            <w:tcW w:type="dxa" w:w="3600"/>
          </w:tcPr>
          <w:p>
            <w:r>
              <w:rPr>
                <w:rFonts w:ascii="Calibri" w:hAnsi="Calibri"/>
                <w:b w:val="0"/>
                <w:i w:val="0"/>
                <w:sz w:val="19"/>
              </w:rPr>
              <w:t>Regulatory compliance</w:t>
            </w:r>
          </w:p>
        </w:tc>
        <w:tc>
          <w:tcPr>
            <w:tcW w:type="dxa" w:w="2880"/>
          </w:tcPr>
          <w:p>
            <w:r>
              <w:rPr>
                <w:rFonts w:ascii="Calibri" w:hAnsi="Calibri"/>
                <w:b w:val="0"/>
                <w:i w:val="0"/>
                <w:sz w:val="19"/>
              </w:rPr>
              <w:t>Legal/Risk</w:t>
            </w:r>
          </w:p>
        </w:tc>
        <w:tc>
          <w:tcPr>
            <w:tcW w:type="dxa" w:w="2592"/>
          </w:tcPr>
          <w:p>
            <w:r>
              <w:rPr>
                <w:rFonts w:ascii="Calibri" w:hAnsi="Calibri"/>
                <w:b w:val="0"/>
                <w:i w:val="0"/>
                <w:sz w:val="19"/>
              </w:rPr>
              <w:t>Quarterly</w:t>
            </w:r>
          </w:p>
        </w:tc>
        <w:tc>
          <w:tcPr>
            <w:tcW w:type="dxa" w:w="4608"/>
          </w:tcPr>
          <w:p>
            <w:r>
              <w:rPr>
                <w:rFonts w:ascii="Calibri" w:hAnsi="Calibri"/>
                <w:b w:val="0"/>
                <w:i w:val="0"/>
                <w:sz w:val="19"/>
              </w:rPr>
              <w:t>Mandatory human sign-off</w:t>
            </w:r>
          </w:p>
        </w:tc>
      </w:tr>
    </w:tbl>
    <w:p/>
    <w:p>
      <w:pPr>
        <w:spacing w:before="120" w:after="120"/>
        <w:pBdr>
          <w:bottom w:val="single" w:sz="6" w:space="1" w:color="2563EB"/>
        </w:pBdr>
      </w:pPr>
    </w:p>
    <w:p>
      <w:pPr>
        <w:spacing w:before="280" w:after="80"/>
      </w:pPr>
      <w:r>
        <w:rPr>
          <w:rFonts w:ascii="Calibri" w:hAnsi="Calibri"/>
          <w:b/>
          <w:i w:val="0"/>
          <w:color w:val="0F2D5E"/>
          <w:sz w:val="32"/>
        </w:rPr>
        <w:t>4. Escalation Framework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2351"/>
        <w:gridCol w:w="2351"/>
        <w:gridCol w:w="2351"/>
        <w:gridCol w:w="2351"/>
      </w:tblGrid>
      <w:tr>
        <w:tc>
          <w:tcPr>
            <w:tcW w:type="dxa" w:w="4320"/>
            <w:shd w:val="clear" w:color="auto" w:fill="0F2D5E"/>
          </w:tcPr>
          <w:p>
            <w:pPr>
              <w:jc w:val="center"/>
            </w:pPr>
            <w:r>
              <w:rPr>
                <w:rFonts w:ascii="Calibri" w:hAnsi="Calibri"/>
                <w:b/>
                <w:i w:val="0"/>
                <w:color w:val="FFFFFF"/>
                <w:sz w:val="19"/>
              </w:rPr>
              <w:t>Trigger</w:t>
            </w:r>
          </w:p>
        </w:tc>
        <w:tc>
          <w:tcPr>
            <w:tcW w:type="dxa" w:w="3600"/>
            <w:shd w:val="clear" w:color="auto" w:fill="0F2D5E"/>
          </w:tcPr>
          <w:p>
            <w:pPr>
              <w:jc w:val="center"/>
            </w:pPr>
            <w:r>
              <w:rPr>
                <w:rFonts w:ascii="Calibri" w:hAnsi="Calibri"/>
                <w:b/>
                <w:i w:val="0"/>
                <w:color w:val="FFFFFF"/>
                <w:sz w:val="19"/>
              </w:rPr>
              <w:t>Level 1 Action</w:t>
            </w:r>
          </w:p>
        </w:tc>
        <w:tc>
          <w:tcPr>
            <w:tcW w:type="dxa" w:w="3600"/>
            <w:shd w:val="clear" w:color="auto" w:fill="0F2D5E"/>
          </w:tcPr>
          <w:p>
            <w:pPr>
              <w:jc w:val="center"/>
            </w:pPr>
            <w:r>
              <w:rPr>
                <w:rFonts w:ascii="Calibri" w:hAnsi="Calibri"/>
                <w:b/>
                <w:i w:val="0"/>
                <w:color w:val="FFFFFF"/>
                <w:sz w:val="19"/>
              </w:rPr>
              <w:t>Level 2 Action</w:t>
            </w:r>
          </w:p>
        </w:tc>
        <w:tc>
          <w:tcPr>
            <w:tcW w:type="dxa" w:w="4032"/>
            <w:shd w:val="clear" w:color="auto" w:fill="0F2D5E"/>
          </w:tcPr>
          <w:p>
            <w:pPr>
              <w:jc w:val="center"/>
            </w:pPr>
            <w:r>
              <w:rPr>
                <w:rFonts w:ascii="Calibri" w:hAnsi="Calibri"/>
                <w:b/>
                <w:i w:val="0"/>
                <w:color w:val="FFFFFF"/>
                <w:sz w:val="19"/>
              </w:rPr>
              <w:t>Level 3 Action</w:t>
            </w:r>
          </w:p>
        </w:tc>
      </w:tr>
      <w:tr>
        <w:tc>
          <w:tcPr>
            <w:tcW w:type="dxa" w:w="4320"/>
            <w:shd w:val="clear" w:color="auto" w:fill="EFF6FF"/>
          </w:tcPr>
          <w:p>
            <w:r>
              <w:rPr>
                <w:rFonts w:ascii="Calibri" w:hAnsi="Calibri"/>
                <w:b w:val="0"/>
                <w:i w:val="0"/>
                <w:sz w:val="19"/>
              </w:rPr>
              <w:t>Bottleneck worsens</w:t>
            </w:r>
          </w:p>
        </w:tc>
        <w:tc>
          <w:tcPr>
            <w:tcW w:type="dxa" w:w="3600"/>
            <w:shd w:val="clear" w:color="auto" w:fill="EFF6FF"/>
          </w:tcPr>
          <w:p>
            <w:r>
              <w:rPr>
                <w:rFonts w:ascii="Calibri" w:hAnsi="Calibri"/>
                <w:b w:val="0"/>
                <w:i w:val="0"/>
                <w:sz w:val="19"/>
              </w:rPr>
              <w:t>Working Group review</w:t>
            </w:r>
          </w:p>
        </w:tc>
        <w:tc>
          <w:tcPr>
            <w:tcW w:type="dxa" w:w="3600"/>
            <w:shd w:val="clear" w:color="auto" w:fill="EFF6FF"/>
          </w:tcPr>
          <w:p>
            <w:r>
              <w:rPr>
                <w:rFonts w:ascii="Calibri" w:hAnsi="Calibri"/>
                <w:b w:val="0"/>
                <w:i w:val="0"/>
                <w:sz w:val="19"/>
              </w:rPr>
              <w:t>Programme Board</w:t>
            </w:r>
          </w:p>
        </w:tc>
        <w:tc>
          <w:tcPr>
            <w:tcW w:type="dxa" w:w="4032"/>
            <w:shd w:val="clear" w:color="auto" w:fill="EFF6FF"/>
          </w:tcPr>
          <w:p>
            <w:r>
              <w:rPr>
                <w:rFonts w:ascii="Calibri" w:hAnsi="Calibri"/>
                <w:b w:val="0"/>
                <w:i w:val="0"/>
                <w:sz w:val="19"/>
              </w:rPr>
              <w:t>Executive Steering</w:t>
            </w:r>
          </w:p>
        </w:tc>
      </w:tr>
      <w:tr>
        <w:tc>
          <w:tcPr>
            <w:tcW w:type="dxa" w:w="4320"/>
          </w:tcPr>
          <w:p>
            <w:r>
              <w:rPr>
                <w:rFonts w:ascii="Calibri" w:hAnsi="Calibri"/>
                <w:b w:val="0"/>
                <w:i w:val="0"/>
                <w:sz w:val="19"/>
              </w:rPr>
              <w:t>AI gate override &gt;3×/week</w:t>
            </w:r>
          </w:p>
        </w:tc>
        <w:tc>
          <w:tcPr>
            <w:tcW w:type="dxa" w:w="3600"/>
          </w:tcPr>
          <w:p>
            <w:r>
              <w:rPr>
                <w:rFonts w:ascii="Calibri" w:hAnsi="Calibri"/>
                <w:b w:val="0"/>
                <w:i w:val="0"/>
                <w:sz w:val="19"/>
              </w:rPr>
              <w:t>Working Group review</w:t>
            </w:r>
          </w:p>
        </w:tc>
        <w:tc>
          <w:tcPr>
            <w:tcW w:type="dxa" w:w="3600"/>
          </w:tcPr>
          <w:p>
            <w:r>
              <w:rPr>
                <w:rFonts w:ascii="Calibri" w:hAnsi="Calibri"/>
                <w:b w:val="0"/>
                <w:i w:val="0"/>
                <w:sz w:val="19"/>
              </w:rPr>
              <w:t>Option reassessment</w:t>
            </w:r>
          </w:p>
        </w:tc>
        <w:tc>
          <w:tcPr>
            <w:tcW w:type="dxa" w:w="4032"/>
          </w:tcPr>
          <w:p>
            <w:r>
              <w:rPr>
                <w:rFonts w:ascii="Calibri" w:hAnsi="Calibri"/>
                <w:b w:val="0"/>
                <w:i w:val="0"/>
                <w:sz w:val="19"/>
              </w:rPr>
              <w:t>Board review</w:t>
            </w:r>
          </w:p>
        </w:tc>
      </w:tr>
      <w:tr>
        <w:tc>
          <w:tcPr>
            <w:tcW w:type="dxa" w:w="4320"/>
            <w:shd w:val="clear" w:color="auto" w:fill="EFF6FF"/>
          </w:tcPr>
          <w:p>
            <w:r>
              <w:rPr>
                <w:rFonts w:ascii="Calibri" w:hAnsi="Calibri"/>
                <w:b w:val="0"/>
                <w:i w:val="0"/>
                <w:sz w:val="19"/>
              </w:rPr>
              <w:t>Benefits &lt;70% of plan</w:t>
            </w:r>
          </w:p>
        </w:tc>
        <w:tc>
          <w:tcPr>
            <w:tcW w:type="dxa" w:w="3600"/>
            <w:shd w:val="clear" w:color="auto" w:fill="EFF6FF"/>
          </w:tcPr>
          <w:p>
            <w:r>
              <w:rPr>
                <w:rFonts w:ascii="Calibri" w:hAnsi="Calibri"/>
                <w:b w:val="0"/>
                <w:i w:val="0"/>
                <w:sz w:val="19"/>
              </w:rPr>
              <w:t>Optimisation sprint</w:t>
            </w:r>
          </w:p>
        </w:tc>
        <w:tc>
          <w:tcPr>
            <w:tcW w:type="dxa" w:w="3600"/>
            <w:shd w:val="clear" w:color="auto" w:fill="EFF6FF"/>
          </w:tcPr>
          <w:p>
            <w:r>
              <w:rPr>
                <w:rFonts w:ascii="Calibri" w:hAnsi="Calibri"/>
                <w:b w:val="0"/>
                <w:i w:val="0"/>
                <w:sz w:val="19"/>
              </w:rPr>
              <w:t>Option upgrade</w:t>
            </w:r>
          </w:p>
        </w:tc>
        <w:tc>
          <w:tcPr>
            <w:tcW w:type="dxa" w:w="4032"/>
            <w:shd w:val="clear" w:color="auto" w:fill="EFF6FF"/>
          </w:tcPr>
          <w:p>
            <w:r>
              <w:rPr>
                <w:rFonts w:ascii="Calibri" w:hAnsi="Calibri"/>
                <w:b w:val="0"/>
                <w:i w:val="0"/>
                <w:sz w:val="19"/>
              </w:rPr>
              <w:t>Transformation reset</w:t>
            </w:r>
          </w:p>
        </w:tc>
      </w:tr>
      <w:tr>
        <w:tc>
          <w:tcPr>
            <w:tcW w:type="dxa" w:w="4320"/>
          </w:tcPr>
          <w:p>
            <w:r>
              <w:rPr>
                <w:rFonts w:ascii="Calibri" w:hAnsi="Calibri"/>
                <w:b w:val="0"/>
                <w:i w:val="0"/>
                <w:sz w:val="19"/>
              </w:rPr>
              <w:t>Security/compliance breach</w:t>
            </w:r>
          </w:p>
        </w:tc>
        <w:tc>
          <w:tcPr>
            <w:tcW w:type="dxa" w:w="3600"/>
          </w:tcPr>
          <w:p>
            <w:r>
              <w:rPr>
                <w:rFonts w:ascii="Calibri" w:hAnsi="Calibri"/>
                <w:b w:val="0"/>
                <w:i w:val="0"/>
                <w:sz w:val="19"/>
              </w:rPr>
              <w:t>Immediate platform hold</w:t>
            </w:r>
          </w:p>
        </w:tc>
        <w:tc>
          <w:tcPr>
            <w:tcW w:type="dxa" w:w="3600"/>
          </w:tcPr>
          <w:p>
            <w:r>
              <w:rPr>
                <w:rFonts w:ascii="Calibri" w:hAnsi="Calibri"/>
                <w:b w:val="0"/>
                <w:i w:val="0"/>
                <w:sz w:val="19"/>
              </w:rPr>
              <w:t>Incident response</w:t>
            </w:r>
          </w:p>
        </w:tc>
        <w:tc>
          <w:tcPr>
            <w:tcW w:type="dxa" w:w="4032"/>
          </w:tcPr>
          <w:p>
            <w:r>
              <w:rPr>
                <w:rFonts w:ascii="Calibri" w:hAnsi="Calibri"/>
                <w:b w:val="0"/>
                <w:i w:val="0"/>
                <w:sz w:val="19"/>
              </w:rPr>
              <w:t>Board notification</w:t>
            </w:r>
          </w:p>
        </w:tc>
      </w:tr>
    </w:tbl>
    <w:p/>
    <w:p>
      <w:pPr>
        <w:spacing w:before="120" w:after="120"/>
        <w:pBdr>
          <w:bottom w:val="single" w:sz="6" w:space="1" w:color="2563EB"/>
        </w:pBdr>
      </w:pPr>
    </w:p>
    <w:p>
      <w:pPr>
        <w:spacing w:before="280" w:after="80"/>
      </w:pPr>
      <w:r>
        <w:rPr>
          <w:rFonts w:ascii="Calibri" w:hAnsi="Calibri"/>
          <w:b/>
          <w:i w:val="0"/>
          <w:color w:val="0F2D5E"/>
          <w:sz w:val="32"/>
        </w:rPr>
        <w:t>5. STUMP Platform — Governance &amp; AI Assurance Modules</w:t>
      </w:r>
    </w:p>
    <w:p>
      <w:pPr>
        <w:spacing w:after="80"/>
      </w:pPr>
      <w:r>
        <w:rPr>
          <w:rFonts w:ascii="Calibri" w:hAnsi="Calibri"/>
          <w:b w:val="0"/>
          <w:i w:val="0"/>
          <w:sz w:val="21"/>
        </w:rPr>
        <w:t>STUMP provides two dedicated modules to support governance and responsible AI deployment at scale.</w:t>
      </w:r>
    </w:p>
    <w:p>
      <w:pPr>
        <w:spacing w:before="200" w:after="60"/>
      </w:pPr>
      <w:r>
        <w:rPr>
          <w:rFonts w:ascii="Calibri" w:hAnsi="Calibri"/>
          <w:b/>
          <w:i w:val="0"/>
          <w:color w:val="2563EB"/>
          <w:sz w:val="26"/>
        </w:rPr>
        <w:t>Governance &amp; Guardrails Module</w:t>
      </w:r>
    </w:p>
    <w:p>
      <w:pPr>
        <w:spacing w:after="80"/>
      </w:pPr>
      <w:r>
        <w:rPr>
          <w:rFonts w:ascii="Calibri" w:hAnsi="Calibri"/>
          <w:b w:val="0"/>
          <w:i w:val="0"/>
          <w:sz w:val="21"/>
        </w:rPr>
        <w:t>The STUMP Governance &amp; Guardrails module provides: (1) an Agent Accountability Matrix mapping all 8 AI agents to their human owner, risk tier, and audit trail; (2) configurable guardrail toggles per governance category (data privacy, PII redaction, financial impact threshold, regulatory compliance); (3) an immutable audit log; and (4) a Responsible AI Scorecard assessing the programme across four dimensions: Transparency, Accountability, Fairness, and Security.</w:t>
      </w:r>
    </w:p>
    <w:p>
      <w:pPr>
        <w:spacing w:before="200" w:after="60"/>
      </w:pPr>
      <w:r>
        <w:rPr>
          <w:rFonts w:ascii="Calibri" w:hAnsi="Calibri"/>
          <w:b/>
          <w:i w:val="0"/>
          <w:color w:val="2563EB"/>
          <w:sz w:val="26"/>
        </w:rPr>
        <w:t>AI Assurance Module</w:t>
      </w:r>
    </w:p>
    <w:p>
      <w:pPr>
        <w:spacing w:after="80"/>
      </w:pPr>
      <w:r>
        <w:rPr>
          <w:rFonts w:ascii="Calibri" w:hAnsi="Calibri"/>
          <w:b w:val="0"/>
          <w:i w:val="0"/>
          <w:sz w:val="21"/>
        </w:rPr>
        <w:t>The AI Assurance module runs six validation gates per agent output pipeline: Accuracy (hallucination detection), Precision (citation validation), Bias Monitoring (demographic fairness checks), Drift Detection (model performance degradation), Output Quality Scoring (per-agent accuracy band), and Testing &amp; CI/CD Gate Integration (automated regression on AI output quality). All gate results are logged and available for regulatory examination.</w:t>
      </w:r>
    </w:p>
    <w:p>
      <w:pPr>
        <w:spacing w:before="120" w:after="120"/>
        <w:ind w:left="480" w:right="480"/>
        <w:shd w:val="clear" w:color="auto" w:fill="DBEAFE"/>
      </w:pPr>
      <w:r>
        <w:rPr>
          <w:rFonts w:ascii="Calibri" w:hAnsi="Calibri"/>
          <w:b w:val="0"/>
          <w:i/>
          <w:color w:val="0F2D5E"/>
          <w:sz w:val="21"/>
        </w:rPr>
        <w:t>For FSI clients operating under DORA (Digital Operational Resilience Act), DAIS (Digital Assets and Infrastructure Security), or equivalent: the Governance &amp; Guardrails + AI Assurance modules produce the artefact set required for Articles 28–44 (ICT risk management) compliance review. Map delivered as part of Phase 2 design.</w:t>
      </w:r>
    </w:p>
    <w:p>
      <w:pPr>
        <w:spacing w:before="120" w:after="120"/>
        <w:pBdr>
          <w:bottom w:val="single" w:sz="6" w:space="1" w:color="2563EB"/>
        </w:pBdr>
      </w:pPr>
    </w:p>
    <w:p>
      <w:pPr>
        <w:spacing w:before="280" w:after="80"/>
      </w:pPr>
      <w:r>
        <w:rPr>
          <w:rFonts w:ascii="Calibri" w:hAnsi="Calibri"/>
          <w:b/>
          <w:i w:val="0"/>
          <w:color w:val="0F2D5E"/>
          <w:sz w:val="32"/>
        </w:rPr>
        <w:t>6. Reporting Cadence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2351"/>
        <w:gridCol w:w="2351"/>
        <w:gridCol w:w="2351"/>
        <w:gridCol w:w="2351"/>
      </w:tblGrid>
      <w:tr>
        <w:tc>
          <w:tcPr>
            <w:tcW w:type="dxa" w:w="3600"/>
            <w:shd w:val="clear" w:color="auto" w:fill="0F2D5E"/>
          </w:tcPr>
          <w:p>
            <w:pPr>
              <w:jc w:val="center"/>
            </w:pPr>
            <w:r>
              <w:rPr>
                <w:rFonts w:ascii="Calibri" w:hAnsi="Calibri"/>
                <w:b/>
                <w:i w:val="0"/>
                <w:color w:val="FFFFFF"/>
                <w:sz w:val="19"/>
              </w:rPr>
              <w:t>Report</w:t>
            </w:r>
          </w:p>
        </w:tc>
        <w:tc>
          <w:tcPr>
            <w:tcW w:type="dxa" w:w="3600"/>
            <w:shd w:val="clear" w:color="auto" w:fill="0F2D5E"/>
          </w:tcPr>
          <w:p>
            <w:pPr>
              <w:jc w:val="center"/>
            </w:pPr>
            <w:r>
              <w:rPr>
                <w:rFonts w:ascii="Calibri" w:hAnsi="Calibri"/>
                <w:b/>
                <w:i w:val="0"/>
                <w:color w:val="FFFFFF"/>
                <w:sz w:val="19"/>
              </w:rPr>
              <w:t>Audience</w:t>
            </w:r>
          </w:p>
        </w:tc>
        <w:tc>
          <w:tcPr>
            <w:tcW w:type="dxa" w:w="2160"/>
            <w:shd w:val="clear" w:color="auto" w:fill="0F2D5E"/>
          </w:tcPr>
          <w:p>
            <w:pPr>
              <w:jc w:val="center"/>
            </w:pPr>
            <w:r>
              <w:rPr>
                <w:rFonts w:ascii="Calibri" w:hAnsi="Calibri"/>
                <w:b/>
                <w:i w:val="0"/>
                <w:color w:val="FFFFFF"/>
                <w:sz w:val="19"/>
              </w:rPr>
              <w:t>Frequency</w:t>
            </w:r>
          </w:p>
        </w:tc>
        <w:tc>
          <w:tcPr>
            <w:tcW w:type="dxa" w:w="4320"/>
            <w:shd w:val="clear" w:color="auto" w:fill="0F2D5E"/>
          </w:tcPr>
          <w:p>
            <w:pPr>
              <w:jc w:val="center"/>
            </w:pPr>
            <w:r>
              <w:rPr>
                <w:rFonts w:ascii="Calibri" w:hAnsi="Calibri"/>
                <w:b/>
                <w:i w:val="0"/>
                <w:color w:val="FFFFFF"/>
                <w:sz w:val="19"/>
              </w:rPr>
              <w:t>Key Metrics</w:t>
            </w:r>
          </w:p>
        </w:tc>
      </w:tr>
      <w:tr>
        <w:tc>
          <w:tcPr>
            <w:tcW w:type="dxa" w:w="3600"/>
            <w:shd w:val="clear" w:color="auto" w:fill="EFF6FF"/>
          </w:tcPr>
          <w:p>
            <w:r>
              <w:rPr>
                <w:rFonts w:ascii="Calibri" w:hAnsi="Calibri"/>
                <w:b w:val="0"/>
                <w:i w:val="0"/>
                <w:sz w:val="19"/>
              </w:rPr>
              <w:t>Agent Performance Dashboard</w:t>
            </w:r>
          </w:p>
        </w:tc>
        <w:tc>
          <w:tcPr>
            <w:tcW w:type="dxa" w:w="3600"/>
            <w:shd w:val="clear" w:color="auto" w:fill="EFF6FF"/>
          </w:tcPr>
          <w:p>
            <w:r>
              <w:rPr>
                <w:rFonts w:ascii="Calibri" w:hAnsi="Calibri"/>
                <w:b w:val="0"/>
                <w:i w:val="0"/>
                <w:sz w:val="19"/>
              </w:rPr>
              <w:t>Platform Ops</w:t>
            </w:r>
          </w:p>
        </w:tc>
        <w:tc>
          <w:tcPr>
            <w:tcW w:type="dxa" w:w="2160"/>
            <w:shd w:val="clear" w:color="auto" w:fill="EFF6FF"/>
          </w:tcPr>
          <w:p>
            <w:r>
              <w:rPr>
                <w:rFonts w:ascii="Calibri" w:hAnsi="Calibri"/>
                <w:b w:val="0"/>
                <w:i w:val="0"/>
                <w:sz w:val="19"/>
              </w:rPr>
              <w:t>Daily</w:t>
            </w:r>
          </w:p>
        </w:tc>
        <w:tc>
          <w:tcPr>
            <w:tcW w:type="dxa" w:w="4320"/>
            <w:shd w:val="clear" w:color="auto" w:fill="EFF6FF"/>
          </w:tcPr>
          <w:p>
            <w:r>
              <w:rPr>
                <w:rFonts w:ascii="Calibri" w:hAnsi="Calibri"/>
                <w:b w:val="0"/>
                <w:i w:val="0"/>
                <w:sz w:val="19"/>
              </w:rPr>
              <w:t>Agent uptime, throughput, errors</w:t>
            </w:r>
          </w:p>
        </w:tc>
      </w:tr>
      <w:tr>
        <w:tc>
          <w:tcPr>
            <w:tcW w:type="dxa" w:w="3600"/>
          </w:tcPr>
          <w:p>
            <w:r>
              <w:rPr>
                <w:rFonts w:ascii="Calibri" w:hAnsi="Calibri"/>
                <w:b w:val="0"/>
                <w:i w:val="0"/>
                <w:sz w:val="19"/>
              </w:rPr>
              <w:t>Transformation KPI Report</w:t>
            </w:r>
          </w:p>
        </w:tc>
        <w:tc>
          <w:tcPr>
            <w:tcW w:type="dxa" w:w="3600"/>
          </w:tcPr>
          <w:p>
            <w:r>
              <w:rPr>
                <w:rFonts w:ascii="Calibri" w:hAnsi="Calibri"/>
                <w:b w:val="0"/>
                <w:i w:val="0"/>
                <w:sz w:val="19"/>
              </w:rPr>
              <w:t>Programme Board</w:t>
            </w:r>
          </w:p>
        </w:tc>
        <w:tc>
          <w:tcPr>
            <w:tcW w:type="dxa" w:w="2160"/>
          </w:tcPr>
          <w:p>
            <w:r>
              <w:rPr>
                <w:rFonts w:ascii="Calibri" w:hAnsi="Calibri"/>
                <w:b w:val="0"/>
                <w:i w:val="0"/>
                <w:sz w:val="19"/>
              </w:rPr>
              <w:t>Bi-weekly</w:t>
            </w:r>
          </w:p>
        </w:tc>
        <w:tc>
          <w:tcPr>
            <w:tcW w:type="dxa" w:w="4320"/>
          </w:tcPr>
          <w:p>
            <w:r>
              <w:rPr>
                <w:rFonts w:ascii="Calibri" w:hAnsi="Calibri"/>
                <w:b w:val="0"/>
                <w:i w:val="0"/>
                <w:sz w:val="19"/>
              </w:rPr>
              <w:t>Lead time, FE, quality, adoption</w:t>
            </w:r>
          </w:p>
        </w:tc>
      </w:tr>
      <w:tr>
        <w:tc>
          <w:tcPr>
            <w:tcW w:type="dxa" w:w="3600"/>
            <w:shd w:val="clear" w:color="auto" w:fill="EFF6FF"/>
          </w:tcPr>
          <w:p>
            <w:r>
              <w:rPr>
                <w:rFonts w:ascii="Calibri" w:hAnsi="Calibri"/>
                <w:b w:val="0"/>
                <w:i w:val="0"/>
                <w:sz w:val="19"/>
              </w:rPr>
              <w:t>Benefits Realisation</w:t>
            </w:r>
          </w:p>
        </w:tc>
        <w:tc>
          <w:tcPr>
            <w:tcW w:type="dxa" w:w="3600"/>
            <w:shd w:val="clear" w:color="auto" w:fill="EFF6FF"/>
          </w:tcPr>
          <w:p>
            <w:r>
              <w:rPr>
                <w:rFonts w:ascii="Calibri" w:hAnsi="Calibri"/>
                <w:b w:val="0"/>
                <w:i w:val="0"/>
                <w:sz w:val="19"/>
              </w:rPr>
              <w:t>Executive Steering</w:t>
            </w:r>
          </w:p>
        </w:tc>
        <w:tc>
          <w:tcPr>
            <w:tcW w:type="dxa" w:w="2160"/>
            <w:shd w:val="clear" w:color="auto" w:fill="EFF6FF"/>
          </w:tcPr>
          <w:p>
            <w:r>
              <w:rPr>
                <w:rFonts w:ascii="Calibri" w:hAnsi="Calibri"/>
                <w:b w:val="0"/>
                <w:i w:val="0"/>
                <w:sz w:val="19"/>
              </w:rPr>
              <w:t>Monthly</w:t>
            </w:r>
          </w:p>
        </w:tc>
        <w:tc>
          <w:tcPr>
            <w:tcW w:type="dxa" w:w="4320"/>
            <w:shd w:val="clear" w:color="auto" w:fill="EFF6FF"/>
          </w:tcPr>
          <w:p>
            <w:r>
              <w:rPr>
                <w:rFonts w:ascii="Calibri" w:hAnsi="Calibri"/>
                <w:b w:val="0"/>
                <w:i w:val="0"/>
                <w:sz w:val="19"/>
              </w:rPr>
              <w:t>ROI vs plan, NPV tracking</w:t>
            </w:r>
          </w:p>
        </w:tc>
      </w:tr>
      <w:tr>
        <w:tc>
          <w:tcPr>
            <w:tcW w:type="dxa" w:w="3600"/>
          </w:tcPr>
          <w:p>
            <w:r>
              <w:rPr>
                <w:rFonts w:ascii="Calibri" w:hAnsi="Calibri"/>
                <w:b w:val="0"/>
                <w:i w:val="0"/>
                <w:sz w:val="19"/>
              </w:rPr>
              <w:t>AI Policy Compliance</w:t>
            </w:r>
          </w:p>
        </w:tc>
        <w:tc>
          <w:tcPr>
            <w:tcW w:type="dxa" w:w="3600"/>
          </w:tcPr>
          <w:p>
            <w:r>
              <w:rPr>
                <w:rFonts w:ascii="Calibri" w:hAnsi="Calibri"/>
                <w:b w:val="0"/>
                <w:i w:val="0"/>
                <w:sz w:val="19"/>
              </w:rPr>
              <w:t>Board / Risk Committee</w:t>
            </w:r>
          </w:p>
        </w:tc>
        <w:tc>
          <w:tcPr>
            <w:tcW w:type="dxa" w:w="2160"/>
          </w:tcPr>
          <w:p>
            <w:r>
              <w:rPr>
                <w:rFonts w:ascii="Calibri" w:hAnsi="Calibri"/>
                <w:b w:val="0"/>
                <w:i w:val="0"/>
                <w:sz w:val="19"/>
              </w:rPr>
              <w:t>Quarterly</w:t>
            </w:r>
          </w:p>
        </w:tc>
        <w:tc>
          <w:tcPr>
            <w:tcW w:type="dxa" w:w="4320"/>
          </w:tcPr>
          <w:p>
            <w:r>
              <w:rPr>
                <w:rFonts w:ascii="Calibri" w:hAnsi="Calibri"/>
                <w:b w:val="0"/>
                <w:i w:val="0"/>
                <w:sz w:val="19"/>
              </w:rPr>
              <w:t>Gate adherence, override rate, policy drift</w:t>
            </w:r>
          </w:p>
        </w:tc>
      </w:tr>
    </w:tbl>
    <w:p/>
    <w:sectPr w:rsidR="00FC693F" w:rsidRPr="0006063C" w:rsidSect="00034616">
      <w:pgSz w:w="12240" w:h="15840"/>
      <w:pgMar w:top="1134" w:right="1417" w:bottom="1134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rFonts w:ascii="Calibri" w:hAnsi="Calibri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rFonts w:ascii="Calibri" w:hAnsi="Calibri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rFonts w:ascii="Calibri" w:hAnsi="Calibri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rFonts w:ascii="Calibri" w:hAnsi="Calibri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Calibri" w:hAnsi="Calibr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Calibri" w:hAnsi="Calibr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Calibri" w:hAnsi="Calibr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 w:ascii="Calibri" w:hAnsi="Calibr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 w:ascii="Calibri" w:hAnsi="Calibr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 w:ascii="Calibri" w:hAnsi="Calibr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 w:ascii="Calibri" w:hAnsi="Calibr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 w:ascii="Calibri" w:hAnsi="Calibr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 w:ascii="Calibri" w:hAnsi="Calibr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  <w:rPr>
      <w:rFonts w:ascii="Calibri" w:hAnsi="Calibri"/>
    </w:rPr>
  </w:style>
  <w:style w:type="table" w:default="1" w:styleId="TableNormal">
    <w:name w:val="Normal Table"/>
    <w:uiPriority w:val="99"/>
    <w:semiHidden/>
    <w:unhideWhenUsed/>
    <w:rPr>
      <w:rFonts w:ascii="Calibri" w:hAnsi="Calibri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rFonts w:ascii="Calibri" w:hAnsi="Calibri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 w:ascii="Calibri" w:hAnsi="Calibr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 w:ascii="Calibri" w:hAnsi="Calibr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 w:ascii="Calibri" w:hAnsi="Calibr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Calibri" w:hAnsi="Calibr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 w:ascii="Calibri" w:hAnsi="Calibr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 w:ascii="Calibri" w:hAnsi="Calibr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 w:ascii="Calibri" w:hAnsi="Calibr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rFonts w:ascii="Calibri" w:hAnsi="Calibri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rFonts w:ascii="Calibri" w:hAnsi="Calibri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rFonts w:ascii="Calibri" w:hAnsi="Calibri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rFonts w:ascii="Calibri" w:hAnsi="Calibri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rFonts w:ascii="Calibri" w:hAnsi="Calibri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rFonts w:ascii="Calibri" w:hAnsi="Calibri"/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rFonts w:ascii="Calibri" w:hAnsi="Calibri"/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rFonts w:ascii="Calibri" w:hAnsi="Calibri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rFonts w:ascii="Calibri" w:hAnsi="Calibri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rFonts w:ascii="Calibri" w:hAnsi="Calibri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rFonts w:ascii="Calibri" w:hAnsi="Calibri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rFonts w:ascii="Calibri" w:hAnsi="Calibri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rFonts w:ascii="Calibri" w:hAnsi="Calibri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rFonts w:ascii="Calibri" w:hAnsi="Calibri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rFonts w:ascii="Calibri" w:hAnsi="Calibri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rFonts w:ascii="Calibri" w:hAnsi="Calibri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rFonts w:ascii="Calibri" w:hAnsi="Calibri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rFonts w:ascii="Calibri" w:hAnsi="Calibri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rFonts w:ascii="Calibri" w:hAnsi="Calibri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alibri" w:hAnsi="Calibri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alibri" w:hAnsi="Calibri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rFonts w:ascii="Calibri" w:hAnsi="Calibri"/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rFonts w:ascii="Calibri" w:hAnsi="Calibri"/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 w:ascii="Calibri" w:hAnsi="Calibr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 w:ascii="Calibri" w:hAnsi="Calibr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 w:ascii="Calibri" w:hAnsi="Calibr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 w:ascii="Calibri" w:hAnsi="Calibr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 w:ascii="Calibri" w:hAnsi="Calibr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 w:ascii="Calibri" w:hAnsi="Calibr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rFonts w:ascii="Calibri" w:hAnsi="Calibri"/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rFonts w:ascii="Calibri" w:hAnsi="Calibri"/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rFonts w:ascii="Calibri" w:hAnsi="Calibri"/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rFonts w:ascii="Calibri" w:hAnsi="Calibri"/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rFonts w:ascii="Calibri" w:hAnsi="Calibri"/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rFonts w:ascii="Calibri" w:hAnsi="Calibri"/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rFonts w:ascii="Calibri" w:hAnsi="Calibri"/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rFonts w:ascii="Calibri" w:hAnsi="Calibri"/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rFonts w:ascii="Calibri" w:hAnsi="Calibri"/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rFonts w:ascii="Calibri" w:hAnsi="Calibri"/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rFonts w:ascii="Calibri" w:hAnsi="Calibri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rFonts w:ascii="Calibri" w:hAnsi="Calibri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rFonts w:ascii="Calibri" w:hAnsi="Calibri"/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rFonts w:ascii="Calibri" w:hAnsi="Calibri"/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rFonts w:ascii="Calibri" w:hAnsi="Calibri"/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rFonts w:ascii="Calibri" w:hAnsi="Calibri"/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rFonts w:ascii="Calibri" w:hAnsi="Calibri"/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rFonts w:ascii="Calibri" w:hAnsi="Calibri"/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rFonts w:ascii="Calibri" w:hAnsi="Calibri"/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rFonts w:ascii="Calibri" w:hAnsi="Calibri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rFonts w:ascii="Calibri" w:hAnsi="Calibri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rFonts w:ascii="Calibri" w:hAnsi="Calibri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rFonts w:ascii="Calibri" w:hAnsi="Calibri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rFonts w:ascii="Calibri" w:hAnsi="Calibri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rFonts w:ascii="Calibri" w:hAnsi="Calibri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rFonts w:ascii="Calibri" w:hAnsi="Calibri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rFonts w:ascii="Calibri" w:hAnsi="Calibri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rFonts w:ascii="Calibri" w:hAnsi="Calibri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rFonts w:ascii="Calibri" w:hAnsi="Calibri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rFonts w:ascii="Calibri" w:hAnsi="Calibri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rFonts w:ascii="Calibri" w:hAnsi="Calibri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rFonts w:ascii="Calibri" w:hAnsi="Calibri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rFonts w:ascii="Calibri" w:hAnsi="Calibri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rFonts w:ascii="Calibri" w:hAnsi="Calibri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rFonts w:ascii="Calibri" w:hAnsi="Calibri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rFonts w:ascii="Calibri" w:hAnsi="Calibri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rFonts w:ascii="Calibri" w:hAnsi="Calibri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rFonts w:ascii="Calibri" w:hAnsi="Calibri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rFonts w:ascii="Calibri" w:hAnsi="Calibri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rFonts w:ascii="Calibri" w:hAnsi="Calibri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rFonts w:ascii="Calibri" w:hAnsi="Calibri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rFonts w:ascii="Calibri" w:hAnsi="Calibri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rFonts w:ascii="Calibri" w:hAnsi="Calibri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rFonts w:ascii="Calibri" w:hAnsi="Calibri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rFonts w:ascii="Calibri" w:hAnsi="Calibri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rFonts w:ascii="Calibri" w:hAnsi="Calibri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rFonts w:ascii="Calibri" w:hAnsi="Calibri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rFonts w:ascii="Calibri" w:hAnsi="Calibr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rFonts w:ascii="Calibri" w:hAnsi="Calibr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rFonts w:ascii="Calibri" w:hAnsi="Calibr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rFonts w:ascii="Calibri" w:hAnsi="Calibr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rFonts w:ascii="Calibri" w:hAnsi="Calibr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rFonts w:ascii="Calibri" w:hAnsi="Calibr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rFonts w:ascii="Calibri" w:hAnsi="Calibr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 w:ascii="Calibri" w:hAnsi="Calibr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 w:ascii="Calibri" w:hAnsi="Calibr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 w:ascii="Calibri" w:hAnsi="Calibr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 w:ascii="Calibri" w:hAnsi="Calibr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 w:ascii="Calibri" w:hAnsi="Calibr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 w:ascii="Calibri" w:hAnsi="Calibr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 w:ascii="Calibri" w:hAnsi="Calibr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rFonts w:ascii="Calibri" w:hAnsi="Calibri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rFonts w:ascii="Calibri" w:hAnsi="Calibri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rFonts w:ascii="Calibri" w:hAnsi="Calibri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rFonts w:ascii="Calibri" w:hAnsi="Calibri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rFonts w:ascii="Calibri" w:hAnsi="Calibri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rFonts w:ascii="Calibri" w:hAnsi="Calibri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rFonts w:ascii="Calibri" w:hAnsi="Calibri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 w:ascii="Calibri" w:hAnsi="Calibr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 w:ascii="Calibri" w:hAnsi="Calibr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 w:ascii="Calibri" w:hAnsi="Calibr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 w:ascii="Calibri" w:hAnsi="Calibr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 w:ascii="Calibri" w:hAnsi="Calibr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 w:ascii="Calibri" w:hAnsi="Calibr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 w:ascii="Calibri" w:hAnsi="Calibr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rFonts w:ascii="Calibri" w:hAnsi="Calibri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rFonts w:ascii="Calibri" w:hAnsi="Calibri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rFonts w:ascii="Calibri" w:hAnsi="Calibri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rFonts w:ascii="Calibri" w:hAnsi="Calibri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rFonts w:ascii="Calibri" w:hAnsi="Calibri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rFonts w:ascii="Calibri" w:hAnsi="Calibri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rFonts w:ascii="Calibri" w:hAnsi="Calibri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rFonts w:ascii="Calibri" w:hAnsi="Calibri"/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rFonts w:ascii="Calibri" w:hAnsi="Calibri"/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rFonts w:ascii="Calibri" w:hAnsi="Calibri"/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rFonts w:ascii="Calibri" w:hAnsi="Calibri"/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rFonts w:ascii="Calibri" w:hAnsi="Calibri"/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rFonts w:ascii="Calibri" w:hAnsi="Calibri"/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rFonts w:ascii="Calibri" w:hAnsi="Calibri"/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rFonts w:ascii="Calibri" w:hAnsi="Calibri"/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rFonts w:ascii="Calibri" w:hAnsi="Calibri"/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rFonts w:ascii="Calibri" w:hAnsi="Calibri"/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rFonts w:ascii="Calibri" w:hAnsi="Calibri"/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rFonts w:ascii="Calibri" w:hAnsi="Calibri"/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rFonts w:ascii="Calibri" w:hAnsi="Calibri"/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rFonts w:ascii="Calibri" w:hAnsi="Calibri"/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rFonts w:ascii="Calibri" w:hAnsi="Calibri"/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rFonts w:ascii="Calibri" w:hAnsi="Calibri"/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rFonts w:ascii="Calibri" w:hAnsi="Calibri"/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rFonts w:ascii="Calibri" w:hAnsi="Calibri"/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rFonts w:ascii="Calibri" w:hAnsi="Calibri"/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rFonts w:ascii="Calibri" w:hAnsi="Calibri"/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rFonts w:ascii="Calibri" w:hAnsi="Calibri"/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rFonts w:ascii="Calibri" w:hAnsi="Calibri"/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rFonts w:ascii="Calibri" w:hAnsi="Calibri"/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rFonts w:ascii="Calibri" w:hAnsi="Calibri"/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rFonts w:ascii="Calibri" w:hAnsi="Calibri"/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rFonts w:ascii="Calibri" w:hAnsi="Calibri"/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rFonts w:ascii="Calibri" w:hAnsi="Calibri"/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rFonts w:ascii="Calibri" w:hAnsi="Calibri"/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