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pPr>
      <w:r>
        <w:rPr>
          <w:rFonts w:ascii="Calibri" w:hAnsi="Calibri"/>
          <w:b/>
          <w:i w:val="0"/>
          <w:color w:val="2563EB"/>
          <w:sz w:val="26"/>
        </w:rPr>
        <w:t>AI-Powered PDLC Transformation</w:t>
      </w:r>
    </w:p>
    <w:p/>
    <w:p>
      <w:r>
        <w:rPr>
          <w:rFonts w:ascii="Calibri" w:hAnsi="Calibri"/>
          <w:b/>
          <w:i w:val="0"/>
          <w:color w:val="0F2D5E"/>
          <w:sz w:val="44"/>
        </w:rPr>
        <w:t>AI-Powered PDLC Transformation</w:t>
        <w:br/>
        <w:t>QA Framework</w:t>
      </w:r>
    </w:p>
    <w:p/>
    <w:p>
      <w:r>
        <w:rPr>
          <w:rFonts w:ascii="Calibri" w:hAnsi="Calibri"/>
          <w:b w:val="0"/>
          <w:i/>
          <w:color w:val="1E408A"/>
          <w:sz w:val="24"/>
        </w:rPr>
        <w:t>Quality Assurance Across Consulting Delivery, Platform Configuration &amp; AI Outputs</w:t>
      </w:r>
    </w:p>
    <w:p/>
    <w:tbl>
      <w:tblPr>
        <w:tblStyle w:val="TableGrid"/>
        <w:tblW w:type="auto" w:w="0"/>
        <w:jc w:val="left"/>
        <w:tblLook w:firstColumn="1" w:firstRow="1" w:lastColumn="0" w:lastRow="0" w:noHBand="0" w:noVBand="1" w:val="04A0"/>
      </w:tblPr>
      <w:tblGrid>
        <w:gridCol w:w="2351"/>
        <w:gridCol w:w="2351"/>
        <w:gridCol w:w="2351"/>
        <w:gridCol w:w="2351"/>
      </w:tblGrid>
      <w:tr>
        <w:tc>
          <w:tcPr>
            <w:tcW w:type="dxa" w:w="3168"/>
            <w:shd w:val="clear" w:color="auto" w:fill="0F2D5E"/>
          </w:tcPr>
          <w:p>
            <w:pPr>
              <w:jc w:val="center"/>
            </w:pPr>
            <w:r>
              <w:rPr>
                <w:rFonts w:ascii="Calibri" w:hAnsi="Calibri"/>
                <w:b/>
                <w:i w:val="0"/>
                <w:color w:val="FFFFFF"/>
                <w:sz w:val="19"/>
              </w:rPr>
              <w:t>Document</w:t>
            </w:r>
          </w:p>
        </w:tc>
        <w:tc>
          <w:tcPr>
            <w:tcW w:type="dxa" w:w="1728"/>
            <w:shd w:val="clear" w:color="auto" w:fill="0F2D5E"/>
          </w:tcPr>
          <w:p>
            <w:pPr>
              <w:jc w:val="center"/>
            </w:pPr>
            <w:r>
              <w:rPr>
                <w:rFonts w:ascii="Calibri" w:hAnsi="Calibri"/>
                <w:b/>
                <w:i w:val="0"/>
                <w:color w:val="FFFFFF"/>
                <w:sz w:val="19"/>
              </w:rPr>
              <w:t>Version</w:t>
            </w:r>
          </w:p>
        </w:tc>
        <w:tc>
          <w:tcPr>
            <w:tcW w:type="dxa" w:w="2160"/>
            <w:shd w:val="clear" w:color="auto" w:fill="0F2D5E"/>
          </w:tcPr>
          <w:p>
            <w:pPr>
              <w:jc w:val="center"/>
            </w:pPr>
            <w:r>
              <w:rPr>
                <w:rFonts w:ascii="Calibri" w:hAnsi="Calibri"/>
                <w:b/>
                <w:i w:val="0"/>
                <w:color w:val="FFFFFF"/>
                <w:sz w:val="19"/>
              </w:rPr>
              <w:t>Date</w:t>
            </w:r>
          </w:p>
        </w:tc>
        <w:tc>
          <w:tcPr>
            <w:tcW w:type="dxa" w:w="2880"/>
            <w:shd w:val="clear" w:color="auto" w:fill="0F2D5E"/>
          </w:tcPr>
          <w:p>
            <w:pPr>
              <w:jc w:val="center"/>
            </w:pPr>
            <w:r>
              <w:rPr>
                <w:rFonts w:ascii="Calibri" w:hAnsi="Calibri"/>
                <w:b/>
                <w:i w:val="0"/>
                <w:color w:val="FFFFFF"/>
                <w:sz w:val="19"/>
              </w:rPr>
              <w:t>Classification</w:t>
            </w:r>
          </w:p>
        </w:tc>
      </w:tr>
      <w:tr>
        <w:tc>
          <w:tcPr>
            <w:tcW w:type="dxa" w:w="3168"/>
            <w:shd w:val="clear" w:color="auto" w:fill="EFF6FF"/>
          </w:tcPr>
          <w:p>
            <w:r>
              <w:rPr>
                <w:rFonts w:ascii="Calibri" w:hAnsi="Calibri"/>
                <w:b w:val="0"/>
                <w:i w:val="0"/>
                <w:sz w:val="19"/>
              </w:rPr>
              <w:t>Doc-30</w:t>
            </w:r>
          </w:p>
        </w:tc>
        <w:tc>
          <w:tcPr>
            <w:tcW w:type="dxa" w:w="1728"/>
            <w:shd w:val="clear" w:color="auto" w:fill="EFF6FF"/>
          </w:tcPr>
          <w:p>
            <w:r>
              <w:rPr>
                <w:rFonts w:ascii="Calibri" w:hAnsi="Calibri"/>
                <w:b w:val="0"/>
                <w:i w:val="0"/>
                <w:sz w:val="19"/>
              </w:rPr>
              <w:t>v2.0</w:t>
            </w:r>
          </w:p>
        </w:tc>
        <w:tc>
          <w:tcPr>
            <w:tcW w:type="dxa" w:w="2160"/>
            <w:shd w:val="clear" w:color="auto" w:fill="EFF6FF"/>
          </w:tcPr>
          <w:p>
            <w:r>
              <w:rPr>
                <w:rFonts w:ascii="Calibri" w:hAnsi="Calibri"/>
                <w:b w:val="0"/>
                <w:i w:val="0"/>
                <w:sz w:val="19"/>
              </w:rPr>
              <w:t>March 2026</w:t>
            </w:r>
          </w:p>
        </w:tc>
        <w:tc>
          <w:tcPr>
            <w:tcW w:type="dxa" w:w="2880"/>
            <w:shd w:val="clear" w:color="auto" w:fill="EFF6FF"/>
          </w:tcPr>
          <w:p>
            <w:r>
              <w:rPr>
                <w:rFonts w:ascii="Calibri" w:hAnsi="Calibri"/>
                <w:b w:val="0"/>
                <w:i w:val="0"/>
                <w:sz w:val="19"/>
              </w:rPr>
              <w:t>Confidential</w:t>
            </w:r>
          </w:p>
        </w:tc>
      </w:tr>
    </w:tbl>
    <w:p/>
    <w:p>
      <w:pPr>
        <w:spacing w:before="120" w:after="120"/>
        <w:ind w:left="480" w:right="480"/>
        <w:shd w:val="clear" w:color="auto" w:fill="DBEAFE"/>
      </w:pPr>
      <w:r>
        <w:rPr>
          <w:rFonts w:ascii="Calibri" w:hAnsi="Calibri"/>
          <w:b w:val="0"/>
          <w:i/>
          <w:color w:val="0F2D5E"/>
          <w:sz w:val="21"/>
        </w:rPr>
        <w:t>Consulting offering powered by STUMP — 5× faster delivery, AI-accurate insights, optimal cost.</w:t>
      </w:r>
    </w:p>
    <w:p>
      <w:r>
        <w:br w:type="page"/>
      </w:r>
    </w:p>
    <w:p>
      <w:pPr>
        <w:spacing w:before="280" w:after="80"/>
      </w:pPr>
      <w:r>
        <w:rPr>
          <w:rFonts w:ascii="Calibri" w:hAnsi="Calibri"/>
          <w:b/>
          <w:i w:val="0"/>
          <w:color w:val="0F2D5E"/>
          <w:sz w:val="32"/>
        </w:rPr>
        <w:t>1. QA Philosophy</w:t>
      </w:r>
    </w:p>
    <w:p>
      <w:pPr>
        <w:spacing w:after="80"/>
      </w:pPr>
      <w:r>
        <w:rPr>
          <w:rFonts w:ascii="Calibri" w:hAnsi="Calibri"/>
          <w:b w:val="0"/>
          <w:i w:val="0"/>
          <w:sz w:val="21"/>
        </w:rPr>
        <w:t>Quality in AI-Powered PDLC Transformation spans three layers: the quality of the consulting delivery (are we doing the right things), the quality of platform configuration (is it set up correctly), and the quality of AI agent outputs (are the recommendations accurate and actionable).</w:t>
      </w:r>
    </w:p>
    <w:p>
      <w:pPr>
        <w:spacing w:before="120" w:after="120"/>
        <w:ind w:left="480" w:right="480"/>
        <w:shd w:val="clear" w:color="auto" w:fill="DBEAFE"/>
      </w:pPr>
      <w:r>
        <w:rPr>
          <w:rFonts w:ascii="Calibri" w:hAnsi="Calibri"/>
          <w:b w:val="0"/>
          <w:i/>
          <w:color w:val="0F2D5E"/>
          <w:sz w:val="21"/>
        </w:rPr>
        <w:t>QA principle: automated checks for platform and AI quality; human expert review for consulting quality. Never automate what requires professional judgement.</w:t>
      </w:r>
    </w:p>
    <w:p>
      <w:pPr>
        <w:spacing w:before="120" w:after="120"/>
        <w:pBdr>
          <w:bottom w:val="single" w:sz="6" w:space="1" w:color="2563EB"/>
        </w:pBdr>
      </w:pPr>
    </w:p>
    <w:p>
      <w:pPr>
        <w:spacing w:before="280" w:after="80"/>
      </w:pPr>
      <w:r>
        <w:rPr>
          <w:rFonts w:ascii="Calibri" w:hAnsi="Calibri"/>
          <w:b/>
          <w:i w:val="0"/>
          <w:color w:val="0F2D5E"/>
          <w:sz w:val="32"/>
        </w:rPr>
        <w:t>2. Quality Dimensions</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3600"/>
            <w:shd w:val="clear" w:color="auto" w:fill="0F2D5E"/>
          </w:tcPr>
          <w:p>
            <w:pPr>
              <w:jc w:val="center"/>
            </w:pPr>
            <w:r>
              <w:rPr>
                <w:rFonts w:ascii="Calibri" w:hAnsi="Calibri"/>
                <w:b/>
                <w:i w:val="0"/>
                <w:color w:val="FFFFFF"/>
                <w:sz w:val="19"/>
              </w:rPr>
              <w:t>Quality Layer</w:t>
            </w:r>
          </w:p>
        </w:tc>
        <w:tc>
          <w:tcPr>
            <w:tcW w:type="dxa" w:w="5040"/>
            <w:shd w:val="clear" w:color="auto" w:fill="0F2D5E"/>
          </w:tcPr>
          <w:p>
            <w:pPr>
              <w:jc w:val="center"/>
            </w:pPr>
            <w:r>
              <w:rPr>
                <w:rFonts w:ascii="Calibri" w:hAnsi="Calibri"/>
                <w:b/>
                <w:i w:val="0"/>
                <w:color w:val="FFFFFF"/>
                <w:sz w:val="19"/>
              </w:rPr>
              <w:t>What is Assessed</w:t>
            </w:r>
          </w:p>
        </w:tc>
        <w:tc>
          <w:tcPr>
            <w:tcW w:type="dxa" w:w="3600"/>
            <w:shd w:val="clear" w:color="auto" w:fill="0F2D5E"/>
          </w:tcPr>
          <w:p>
            <w:pPr>
              <w:jc w:val="center"/>
            </w:pPr>
            <w:r>
              <w:rPr>
                <w:rFonts w:ascii="Calibri" w:hAnsi="Calibri"/>
                <w:b/>
                <w:i w:val="0"/>
                <w:color w:val="FFFFFF"/>
                <w:sz w:val="19"/>
              </w:rPr>
              <w:t>Assessment Method</w:t>
            </w:r>
          </w:p>
        </w:tc>
        <w:tc>
          <w:tcPr>
            <w:tcW w:type="dxa" w:w="2160"/>
            <w:shd w:val="clear" w:color="auto" w:fill="0F2D5E"/>
          </w:tcPr>
          <w:p>
            <w:pPr>
              <w:jc w:val="center"/>
            </w:pPr>
            <w:r>
              <w:rPr>
                <w:rFonts w:ascii="Calibri" w:hAnsi="Calibri"/>
                <w:b/>
                <w:i w:val="0"/>
                <w:color w:val="FFFFFF"/>
                <w:sz w:val="19"/>
              </w:rPr>
              <w:t>Frequency</w:t>
            </w:r>
          </w:p>
        </w:tc>
      </w:tr>
      <w:tr>
        <w:tc>
          <w:tcPr>
            <w:tcW w:type="dxa" w:w="3600"/>
            <w:shd w:val="clear" w:color="auto" w:fill="EFF6FF"/>
          </w:tcPr>
          <w:p>
            <w:r>
              <w:rPr>
                <w:rFonts w:ascii="Calibri" w:hAnsi="Calibri"/>
                <w:b w:val="0"/>
                <w:i w:val="0"/>
                <w:sz w:val="19"/>
              </w:rPr>
              <w:t>Consulting delivery</w:t>
            </w:r>
          </w:p>
        </w:tc>
        <w:tc>
          <w:tcPr>
            <w:tcW w:type="dxa" w:w="5040"/>
            <w:shd w:val="clear" w:color="auto" w:fill="EFF6FF"/>
          </w:tcPr>
          <w:p>
            <w:r>
              <w:rPr>
                <w:rFonts w:ascii="Calibri" w:hAnsi="Calibri"/>
                <w:b w:val="0"/>
                <w:i w:val="0"/>
                <w:sz w:val="19"/>
              </w:rPr>
              <w:t>Methodology adherence, stakeholder satisfaction</w:t>
            </w:r>
          </w:p>
        </w:tc>
        <w:tc>
          <w:tcPr>
            <w:tcW w:type="dxa" w:w="3600"/>
            <w:shd w:val="clear" w:color="auto" w:fill="EFF6FF"/>
          </w:tcPr>
          <w:p>
            <w:r>
              <w:rPr>
                <w:rFonts w:ascii="Calibri" w:hAnsi="Calibri"/>
                <w:b w:val="0"/>
                <w:i w:val="0"/>
                <w:sz w:val="19"/>
              </w:rPr>
              <w:t>Peer review + client survey</w:t>
            </w:r>
          </w:p>
        </w:tc>
        <w:tc>
          <w:tcPr>
            <w:tcW w:type="dxa" w:w="2160"/>
            <w:shd w:val="clear" w:color="auto" w:fill="EFF6FF"/>
          </w:tcPr>
          <w:p>
            <w:r>
              <w:rPr>
                <w:rFonts w:ascii="Calibri" w:hAnsi="Calibri"/>
                <w:b w:val="0"/>
                <w:i w:val="0"/>
                <w:sz w:val="19"/>
              </w:rPr>
              <w:t>Per phase</w:t>
            </w:r>
          </w:p>
        </w:tc>
      </w:tr>
      <w:tr>
        <w:tc>
          <w:tcPr>
            <w:tcW w:type="dxa" w:w="3600"/>
          </w:tcPr>
          <w:p>
            <w:r>
              <w:rPr>
                <w:rFonts w:ascii="Calibri" w:hAnsi="Calibri"/>
                <w:b w:val="0"/>
                <w:i w:val="0"/>
                <w:sz w:val="19"/>
              </w:rPr>
              <w:t>Platform configuration</w:t>
            </w:r>
          </w:p>
        </w:tc>
        <w:tc>
          <w:tcPr>
            <w:tcW w:type="dxa" w:w="5040"/>
          </w:tcPr>
          <w:p>
            <w:r>
              <w:rPr>
                <w:rFonts w:ascii="Calibri" w:hAnsi="Calibri"/>
                <w:b w:val="0"/>
                <w:i w:val="0"/>
                <w:sz w:val="19"/>
              </w:rPr>
              <w:t>Correct setup per chosen option</w:t>
            </w:r>
          </w:p>
        </w:tc>
        <w:tc>
          <w:tcPr>
            <w:tcW w:type="dxa" w:w="3600"/>
          </w:tcPr>
          <w:p>
            <w:r>
              <w:rPr>
                <w:rFonts w:ascii="Calibri" w:hAnsi="Calibri"/>
                <w:b w:val="0"/>
                <w:i w:val="0"/>
                <w:sz w:val="19"/>
              </w:rPr>
              <w:t>Configuration validation checklist</w:t>
            </w:r>
          </w:p>
        </w:tc>
        <w:tc>
          <w:tcPr>
            <w:tcW w:type="dxa" w:w="2160"/>
          </w:tcPr>
          <w:p>
            <w:r>
              <w:rPr>
                <w:rFonts w:ascii="Calibri" w:hAnsi="Calibri"/>
                <w:b w:val="0"/>
                <w:i w:val="0"/>
                <w:sz w:val="19"/>
              </w:rPr>
              <w:t>Pre go-live + quarterly</w:t>
            </w:r>
          </w:p>
        </w:tc>
      </w:tr>
      <w:tr>
        <w:tc>
          <w:tcPr>
            <w:tcW w:type="dxa" w:w="3600"/>
            <w:shd w:val="clear" w:color="auto" w:fill="EFF6FF"/>
          </w:tcPr>
          <w:p>
            <w:r>
              <w:rPr>
                <w:rFonts w:ascii="Calibri" w:hAnsi="Calibri"/>
                <w:b w:val="0"/>
                <w:i w:val="0"/>
                <w:sz w:val="19"/>
              </w:rPr>
              <w:t>AI agent outputs</w:t>
            </w:r>
          </w:p>
        </w:tc>
        <w:tc>
          <w:tcPr>
            <w:tcW w:type="dxa" w:w="5040"/>
            <w:shd w:val="clear" w:color="auto" w:fill="EFF6FF"/>
          </w:tcPr>
          <w:p>
            <w:r>
              <w:rPr>
                <w:rFonts w:ascii="Calibri" w:hAnsi="Calibri"/>
                <w:b w:val="0"/>
                <w:i w:val="0"/>
                <w:sz w:val="19"/>
              </w:rPr>
              <w:t>Accuracy of VSM, bottleneck scoring, recommendations</w:t>
            </w:r>
          </w:p>
        </w:tc>
        <w:tc>
          <w:tcPr>
            <w:tcW w:type="dxa" w:w="3600"/>
            <w:shd w:val="clear" w:color="auto" w:fill="EFF6FF"/>
          </w:tcPr>
          <w:p>
            <w:r>
              <w:rPr>
                <w:rFonts w:ascii="Calibri" w:hAnsi="Calibri"/>
                <w:b w:val="0"/>
                <w:i w:val="0"/>
                <w:sz w:val="19"/>
              </w:rPr>
              <w:t>Calibration study</w:t>
            </w:r>
          </w:p>
        </w:tc>
        <w:tc>
          <w:tcPr>
            <w:tcW w:type="dxa" w:w="2160"/>
            <w:shd w:val="clear" w:color="auto" w:fill="EFF6FF"/>
          </w:tcPr>
          <w:p>
            <w:r>
              <w:rPr>
                <w:rFonts w:ascii="Calibri" w:hAnsi="Calibri"/>
                <w:b w:val="0"/>
                <w:i w:val="0"/>
                <w:sz w:val="19"/>
              </w:rPr>
              <w:t>Monthly</w:t>
            </w:r>
          </w:p>
        </w:tc>
      </w:tr>
      <w:tr>
        <w:tc>
          <w:tcPr>
            <w:tcW w:type="dxa" w:w="3600"/>
          </w:tcPr>
          <w:p>
            <w:r>
              <w:rPr>
                <w:rFonts w:ascii="Calibri" w:hAnsi="Calibri"/>
                <w:b w:val="0"/>
                <w:i w:val="0"/>
                <w:sz w:val="19"/>
              </w:rPr>
              <w:t>Benefits realisation</w:t>
            </w:r>
          </w:p>
        </w:tc>
        <w:tc>
          <w:tcPr>
            <w:tcW w:type="dxa" w:w="5040"/>
          </w:tcPr>
          <w:p>
            <w:r>
              <w:rPr>
                <w:rFonts w:ascii="Calibri" w:hAnsi="Calibri"/>
                <w:b w:val="0"/>
                <w:i w:val="0"/>
                <w:sz w:val="19"/>
              </w:rPr>
              <w:t>Actual vs projected outcomes</w:t>
            </w:r>
          </w:p>
        </w:tc>
        <w:tc>
          <w:tcPr>
            <w:tcW w:type="dxa" w:w="3600"/>
          </w:tcPr>
          <w:p>
            <w:r>
              <w:rPr>
                <w:rFonts w:ascii="Calibri" w:hAnsi="Calibri"/>
                <w:b w:val="0"/>
                <w:i w:val="0"/>
                <w:sz w:val="19"/>
              </w:rPr>
              <w:t>Benefits tracker review</w:t>
            </w:r>
          </w:p>
        </w:tc>
        <w:tc>
          <w:tcPr>
            <w:tcW w:type="dxa" w:w="2160"/>
          </w:tcPr>
          <w:p>
            <w:r>
              <w:rPr>
                <w:rFonts w:ascii="Calibri" w:hAnsi="Calibri"/>
                <w:b w:val="0"/>
                <w:i w:val="0"/>
                <w:sz w:val="19"/>
              </w:rPr>
              <w:t>Monthly</w:t>
            </w:r>
          </w:p>
        </w:tc>
      </w:tr>
      <w:tr>
        <w:tc>
          <w:tcPr>
            <w:tcW w:type="dxa" w:w="3600"/>
            <w:shd w:val="clear" w:color="auto" w:fill="EFF6FF"/>
          </w:tcPr>
          <w:p>
            <w:r>
              <w:rPr>
                <w:rFonts w:ascii="Calibri" w:hAnsi="Calibri"/>
                <w:b w:val="0"/>
                <w:i w:val="0"/>
                <w:sz w:val="19"/>
              </w:rPr>
              <w:t>Change management</w:t>
            </w:r>
          </w:p>
        </w:tc>
        <w:tc>
          <w:tcPr>
            <w:tcW w:type="dxa" w:w="5040"/>
            <w:shd w:val="clear" w:color="auto" w:fill="EFF6FF"/>
          </w:tcPr>
          <w:p>
            <w:r>
              <w:rPr>
                <w:rFonts w:ascii="Calibri" w:hAnsi="Calibri"/>
                <w:b w:val="0"/>
                <w:i w:val="0"/>
                <w:sz w:val="19"/>
              </w:rPr>
              <w:t>Adoption rates, NPS, sentiment</w:t>
            </w:r>
          </w:p>
        </w:tc>
        <w:tc>
          <w:tcPr>
            <w:tcW w:type="dxa" w:w="3600"/>
            <w:shd w:val="clear" w:color="auto" w:fill="EFF6FF"/>
          </w:tcPr>
          <w:p>
            <w:r>
              <w:rPr>
                <w:rFonts w:ascii="Calibri" w:hAnsi="Calibri"/>
                <w:b w:val="0"/>
                <w:i w:val="0"/>
                <w:sz w:val="19"/>
              </w:rPr>
              <w:t>Adoption dashboard</w:t>
            </w:r>
          </w:p>
        </w:tc>
        <w:tc>
          <w:tcPr>
            <w:tcW w:type="dxa" w:w="2160"/>
            <w:shd w:val="clear" w:color="auto" w:fill="EFF6FF"/>
          </w:tcPr>
          <w:p>
            <w:r>
              <w:rPr>
                <w:rFonts w:ascii="Calibri" w:hAnsi="Calibri"/>
                <w:b w:val="0"/>
                <w:i w:val="0"/>
                <w:sz w:val="19"/>
              </w:rPr>
              <w:t>Weekly</w:t>
            </w:r>
          </w:p>
        </w:tc>
      </w:tr>
    </w:tbl>
    <w:p/>
    <w:p>
      <w:pPr>
        <w:spacing w:before="120" w:after="120"/>
        <w:pBdr>
          <w:bottom w:val="single" w:sz="6" w:space="1" w:color="2563EB"/>
        </w:pBdr>
      </w:pPr>
    </w:p>
    <w:p>
      <w:pPr>
        <w:spacing w:before="280" w:after="80"/>
      </w:pPr>
      <w:r>
        <w:rPr>
          <w:rFonts w:ascii="Calibri" w:hAnsi="Calibri"/>
          <w:b/>
          <w:i w:val="0"/>
          <w:color w:val="0F2D5E"/>
          <w:sz w:val="32"/>
        </w:rPr>
        <w:t>3. Consulting Delivery QA</w:t>
      </w:r>
    </w:p>
    <w:p>
      <w:pPr>
        <w:spacing w:before="200" w:after="60"/>
      </w:pPr>
      <w:r>
        <w:rPr>
          <w:rFonts w:ascii="Calibri" w:hAnsi="Calibri"/>
          <w:b/>
          <w:i w:val="0"/>
          <w:color w:val="2563EB"/>
          <w:sz w:val="26"/>
        </w:rPr>
        <w:t>Phase Gate Reviews</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880"/>
            <w:shd w:val="clear" w:color="auto" w:fill="0F2D5E"/>
          </w:tcPr>
          <w:p>
            <w:pPr>
              <w:jc w:val="center"/>
            </w:pPr>
            <w:r>
              <w:rPr>
                <w:rFonts w:ascii="Calibri" w:hAnsi="Calibri"/>
                <w:b/>
                <w:i w:val="0"/>
                <w:color w:val="FFFFFF"/>
                <w:sz w:val="19"/>
              </w:rPr>
              <w:t>Gate</w:t>
            </w:r>
          </w:p>
        </w:tc>
        <w:tc>
          <w:tcPr>
            <w:tcW w:type="dxa" w:w="4320"/>
            <w:shd w:val="clear" w:color="auto" w:fill="0F2D5E"/>
          </w:tcPr>
          <w:p>
            <w:pPr>
              <w:jc w:val="center"/>
            </w:pPr>
            <w:r>
              <w:rPr>
                <w:rFonts w:ascii="Calibri" w:hAnsi="Calibri"/>
                <w:b/>
                <w:i w:val="0"/>
                <w:color w:val="FFFFFF"/>
                <w:sz w:val="19"/>
              </w:rPr>
              <w:t>Review Panel</w:t>
            </w:r>
          </w:p>
        </w:tc>
        <w:tc>
          <w:tcPr>
            <w:tcW w:type="dxa" w:w="5040"/>
            <w:shd w:val="clear" w:color="auto" w:fill="0F2D5E"/>
          </w:tcPr>
          <w:p>
            <w:pPr>
              <w:jc w:val="center"/>
            </w:pPr>
            <w:r>
              <w:rPr>
                <w:rFonts w:ascii="Calibri" w:hAnsi="Calibri"/>
                <w:b/>
                <w:i w:val="0"/>
                <w:color w:val="FFFFFF"/>
                <w:sz w:val="19"/>
              </w:rPr>
              <w:t>Criteria</w:t>
            </w:r>
          </w:p>
        </w:tc>
        <w:tc>
          <w:tcPr>
            <w:tcW w:type="dxa" w:w="2880"/>
            <w:shd w:val="clear" w:color="auto" w:fill="0F2D5E"/>
          </w:tcPr>
          <w:p>
            <w:pPr>
              <w:jc w:val="center"/>
            </w:pPr>
            <w:r>
              <w:rPr>
                <w:rFonts w:ascii="Calibri" w:hAnsi="Calibri"/>
                <w:b/>
                <w:i w:val="0"/>
                <w:color w:val="FFFFFF"/>
                <w:sz w:val="19"/>
              </w:rPr>
              <w:t>Outcome</w:t>
            </w:r>
          </w:p>
        </w:tc>
      </w:tr>
      <w:tr>
        <w:tc>
          <w:tcPr>
            <w:tcW w:type="dxa" w:w="2880"/>
            <w:shd w:val="clear" w:color="auto" w:fill="EFF6FF"/>
          </w:tcPr>
          <w:p>
            <w:r>
              <w:rPr>
                <w:rFonts w:ascii="Calibri" w:hAnsi="Calibri"/>
                <w:b w:val="0"/>
                <w:i w:val="0"/>
                <w:sz w:val="19"/>
              </w:rPr>
              <w:t>Phase 1 Exit</w:t>
            </w:r>
          </w:p>
        </w:tc>
        <w:tc>
          <w:tcPr>
            <w:tcW w:type="dxa" w:w="4320"/>
            <w:shd w:val="clear" w:color="auto" w:fill="EFF6FF"/>
          </w:tcPr>
          <w:p>
            <w:r>
              <w:rPr>
                <w:rFonts w:ascii="Calibri" w:hAnsi="Calibri"/>
                <w:b w:val="0"/>
                <w:i w:val="0"/>
                <w:sz w:val="19"/>
              </w:rPr>
              <w:t>Engagement Lead + Client Sponsor</w:t>
            </w:r>
          </w:p>
        </w:tc>
        <w:tc>
          <w:tcPr>
            <w:tcW w:type="dxa" w:w="5040"/>
            <w:shd w:val="clear" w:color="auto" w:fill="EFF6FF"/>
          </w:tcPr>
          <w:p>
            <w:r>
              <w:rPr>
                <w:rFonts w:ascii="Calibri" w:hAnsi="Calibri"/>
                <w:b w:val="0"/>
                <w:i w:val="0"/>
                <w:sz w:val="19"/>
              </w:rPr>
              <w:t>VSM accuracy &gt;80%, bottlenecks agreed</w:t>
            </w:r>
          </w:p>
        </w:tc>
        <w:tc>
          <w:tcPr>
            <w:tcW w:type="dxa" w:w="2880"/>
            <w:shd w:val="clear" w:color="auto" w:fill="EFF6FF"/>
          </w:tcPr>
          <w:p>
            <w:r>
              <w:rPr>
                <w:rFonts w:ascii="Calibri" w:hAnsi="Calibri"/>
                <w:b w:val="0"/>
                <w:i w:val="0"/>
                <w:sz w:val="19"/>
              </w:rPr>
              <w:t>Proceed / Re-do</w:t>
            </w:r>
          </w:p>
        </w:tc>
      </w:tr>
      <w:tr>
        <w:tc>
          <w:tcPr>
            <w:tcW w:type="dxa" w:w="2880"/>
          </w:tcPr>
          <w:p>
            <w:r>
              <w:rPr>
                <w:rFonts w:ascii="Calibri" w:hAnsi="Calibri"/>
                <w:b w:val="0"/>
                <w:i w:val="0"/>
                <w:sz w:val="19"/>
              </w:rPr>
              <w:t>Phase 2 Exit</w:t>
            </w:r>
          </w:p>
        </w:tc>
        <w:tc>
          <w:tcPr>
            <w:tcW w:type="dxa" w:w="4320"/>
          </w:tcPr>
          <w:p>
            <w:r>
              <w:rPr>
                <w:rFonts w:ascii="Calibri" w:hAnsi="Calibri"/>
                <w:b w:val="0"/>
                <w:i w:val="0"/>
                <w:sz w:val="19"/>
              </w:rPr>
              <w:t>Engagement Lead + CFO delegate</w:t>
            </w:r>
          </w:p>
        </w:tc>
        <w:tc>
          <w:tcPr>
            <w:tcW w:type="dxa" w:w="5040"/>
          </w:tcPr>
          <w:p>
            <w:r>
              <w:rPr>
                <w:rFonts w:ascii="Calibri" w:hAnsi="Calibri"/>
                <w:b w:val="0"/>
                <w:i w:val="0"/>
                <w:sz w:val="19"/>
              </w:rPr>
              <w:t>Option selected, business case approved</w:t>
            </w:r>
          </w:p>
        </w:tc>
        <w:tc>
          <w:tcPr>
            <w:tcW w:type="dxa" w:w="2880"/>
          </w:tcPr>
          <w:p>
            <w:r>
              <w:rPr>
                <w:rFonts w:ascii="Calibri" w:hAnsi="Calibri"/>
                <w:b w:val="0"/>
                <w:i w:val="0"/>
                <w:sz w:val="19"/>
              </w:rPr>
              <w:t>Proceed / Revise</w:t>
            </w:r>
          </w:p>
        </w:tc>
      </w:tr>
      <w:tr>
        <w:tc>
          <w:tcPr>
            <w:tcW w:type="dxa" w:w="2880"/>
            <w:shd w:val="clear" w:color="auto" w:fill="EFF6FF"/>
          </w:tcPr>
          <w:p>
            <w:r>
              <w:rPr>
                <w:rFonts w:ascii="Calibri" w:hAnsi="Calibri"/>
                <w:b w:val="0"/>
                <w:i w:val="0"/>
                <w:sz w:val="19"/>
              </w:rPr>
              <w:t>Phase 3 Mid-point</w:t>
            </w:r>
          </w:p>
        </w:tc>
        <w:tc>
          <w:tcPr>
            <w:tcW w:type="dxa" w:w="4320"/>
            <w:shd w:val="clear" w:color="auto" w:fill="EFF6FF"/>
          </w:tcPr>
          <w:p>
            <w:r>
              <w:rPr>
                <w:rFonts w:ascii="Calibri" w:hAnsi="Calibri"/>
                <w:b w:val="0"/>
                <w:i w:val="0"/>
                <w:sz w:val="19"/>
              </w:rPr>
              <w:t>Steering Committee</w:t>
            </w:r>
          </w:p>
        </w:tc>
        <w:tc>
          <w:tcPr>
            <w:tcW w:type="dxa" w:w="5040"/>
            <w:shd w:val="clear" w:color="auto" w:fill="EFF6FF"/>
          </w:tcPr>
          <w:p>
            <w:r>
              <w:rPr>
                <w:rFonts w:ascii="Calibri" w:hAnsi="Calibri"/>
                <w:b w:val="0"/>
                <w:i w:val="0"/>
                <w:sz w:val="19"/>
              </w:rPr>
              <w:t>Adoption &gt;50%, benefits on track</w:t>
            </w:r>
          </w:p>
        </w:tc>
        <w:tc>
          <w:tcPr>
            <w:tcW w:type="dxa" w:w="2880"/>
            <w:shd w:val="clear" w:color="auto" w:fill="EFF6FF"/>
          </w:tcPr>
          <w:p>
            <w:r>
              <w:rPr>
                <w:rFonts w:ascii="Calibri" w:hAnsi="Calibri"/>
                <w:b w:val="0"/>
                <w:i w:val="0"/>
                <w:sz w:val="19"/>
              </w:rPr>
              <w:t>Proceed / Intervene</w:t>
            </w:r>
          </w:p>
        </w:tc>
      </w:tr>
      <w:tr>
        <w:tc>
          <w:tcPr>
            <w:tcW w:type="dxa" w:w="2880"/>
          </w:tcPr>
          <w:p>
            <w:r>
              <w:rPr>
                <w:rFonts w:ascii="Calibri" w:hAnsi="Calibri"/>
                <w:b w:val="0"/>
                <w:i w:val="0"/>
                <w:sz w:val="19"/>
              </w:rPr>
              <w:t>Phase 3 Exit</w:t>
            </w:r>
          </w:p>
        </w:tc>
        <w:tc>
          <w:tcPr>
            <w:tcW w:type="dxa" w:w="4320"/>
          </w:tcPr>
          <w:p>
            <w:r>
              <w:rPr>
                <w:rFonts w:ascii="Calibri" w:hAnsi="Calibri"/>
                <w:b w:val="0"/>
                <w:i w:val="0"/>
                <w:sz w:val="19"/>
              </w:rPr>
              <w:t>Executive Sponsor</w:t>
            </w:r>
          </w:p>
        </w:tc>
        <w:tc>
          <w:tcPr>
            <w:tcW w:type="dxa" w:w="5040"/>
          </w:tcPr>
          <w:p>
            <w:r>
              <w:rPr>
                <w:rFonts w:ascii="Calibri" w:hAnsi="Calibri"/>
                <w:b w:val="0"/>
                <w:i w:val="0"/>
                <w:sz w:val="19"/>
              </w:rPr>
              <w:t>All success criteria met</w:t>
            </w:r>
          </w:p>
        </w:tc>
        <w:tc>
          <w:tcPr>
            <w:tcW w:type="dxa" w:w="2880"/>
          </w:tcPr>
          <w:p>
            <w:r>
              <w:rPr>
                <w:rFonts w:ascii="Calibri" w:hAnsi="Calibri"/>
                <w:b w:val="0"/>
                <w:i w:val="0"/>
                <w:sz w:val="19"/>
              </w:rPr>
              <w:t>Close / Extend</w:t>
            </w:r>
          </w:p>
        </w:tc>
      </w:tr>
    </w:tbl>
    <w:p/>
    <w:p>
      <w:pPr>
        <w:spacing w:before="200" w:after="60"/>
      </w:pPr>
      <w:r>
        <w:rPr>
          <w:rFonts w:ascii="Calibri" w:hAnsi="Calibri"/>
          <w:b/>
          <w:i w:val="0"/>
          <w:color w:val="2563EB"/>
          <w:sz w:val="26"/>
        </w:rPr>
        <w:t>Peer Review Standards</w:t>
      </w:r>
    </w:p>
    <w:p>
      <w:pPr>
        <w:pStyle w:val="ListBullet"/>
        <w:spacing w:after="40"/>
      </w:pPr>
      <w:r>
        <w:rPr>
          <w:rFonts w:ascii="Calibri" w:hAnsi="Calibri"/>
          <w:b w:val="0"/>
          <w:i w:val="0"/>
          <w:sz w:val="21"/>
        </w:rPr>
        <w:t>All client-facing deliverables peer reviewed by a senior consultant before submission</w:t>
      </w:r>
    </w:p>
    <w:p>
      <w:pPr>
        <w:pStyle w:val="ListBullet"/>
        <w:spacing w:after="40"/>
      </w:pPr>
      <w:r>
        <w:rPr>
          <w:rFonts w:ascii="Calibri" w:hAnsi="Calibri"/>
          <w:b w:val="0"/>
          <w:i w:val="0"/>
          <w:sz w:val="21"/>
        </w:rPr>
        <w:t>VSM maps reviewed by a certified VSM practitioner</w:t>
      </w:r>
    </w:p>
    <w:p>
      <w:pPr>
        <w:pStyle w:val="ListBullet"/>
        <w:spacing w:after="40"/>
      </w:pPr>
      <w:r>
        <w:rPr>
          <w:rFonts w:ascii="Calibri" w:hAnsi="Calibri"/>
          <w:b w:val="0"/>
          <w:i w:val="0"/>
          <w:sz w:val="21"/>
        </w:rPr>
        <w:t>Business cases reviewed by a qualified financial analyst</w:t>
      </w:r>
    </w:p>
    <w:p>
      <w:pPr>
        <w:pStyle w:val="ListBullet"/>
        <w:spacing w:after="40"/>
      </w:pPr>
      <w:r>
        <w:rPr>
          <w:rFonts w:ascii="Calibri" w:hAnsi="Calibri"/>
          <w:b w:val="0"/>
          <w:i w:val="0"/>
          <w:sz w:val="21"/>
        </w:rPr>
        <w:t>AI policy documents (Option C) reviewed by AI ethics and legal advisors</w:t>
      </w:r>
    </w:p>
    <w:p>
      <w:pPr>
        <w:spacing w:before="120" w:after="120"/>
        <w:pBdr>
          <w:bottom w:val="single" w:sz="6" w:space="1" w:color="2563EB"/>
        </w:pBdr>
      </w:pPr>
    </w:p>
    <w:p>
      <w:pPr>
        <w:spacing w:before="280" w:after="80"/>
      </w:pPr>
      <w:r>
        <w:rPr>
          <w:rFonts w:ascii="Calibri" w:hAnsi="Calibri"/>
          <w:b/>
          <w:i w:val="0"/>
          <w:color w:val="0F2D5E"/>
          <w:sz w:val="32"/>
        </w:rPr>
        <w:t>4. Platform Configuration QA</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3600"/>
            <w:shd w:val="clear" w:color="auto" w:fill="0F2D5E"/>
          </w:tcPr>
          <w:p>
            <w:pPr>
              <w:jc w:val="center"/>
            </w:pPr>
            <w:r>
              <w:rPr>
                <w:rFonts w:ascii="Calibri" w:hAnsi="Calibri"/>
                <w:b/>
                <w:i w:val="0"/>
                <w:color w:val="FFFFFF"/>
                <w:sz w:val="19"/>
              </w:rPr>
              <w:t>Test Type</w:t>
            </w:r>
          </w:p>
        </w:tc>
        <w:tc>
          <w:tcPr>
            <w:tcW w:type="dxa" w:w="5760"/>
            <w:shd w:val="clear" w:color="auto" w:fill="0F2D5E"/>
          </w:tcPr>
          <w:p>
            <w:pPr>
              <w:jc w:val="center"/>
            </w:pPr>
            <w:r>
              <w:rPr>
                <w:rFonts w:ascii="Calibri" w:hAnsi="Calibri"/>
                <w:b/>
                <w:i w:val="0"/>
                <w:color w:val="FFFFFF"/>
                <w:sz w:val="19"/>
              </w:rPr>
              <w:t>Description</w:t>
            </w:r>
          </w:p>
        </w:tc>
        <w:tc>
          <w:tcPr>
            <w:tcW w:type="dxa" w:w="3600"/>
            <w:shd w:val="clear" w:color="auto" w:fill="0F2D5E"/>
          </w:tcPr>
          <w:p>
            <w:pPr>
              <w:jc w:val="center"/>
            </w:pPr>
            <w:r>
              <w:rPr>
                <w:rFonts w:ascii="Calibri" w:hAnsi="Calibri"/>
                <w:b/>
                <w:i w:val="0"/>
                <w:color w:val="FFFFFF"/>
                <w:sz w:val="19"/>
              </w:rPr>
              <w:t>Pass Criteria</w:t>
            </w:r>
          </w:p>
        </w:tc>
        <w:tc>
          <w:tcPr>
            <w:tcW w:type="dxa" w:w="2592"/>
            <w:shd w:val="clear" w:color="auto" w:fill="0F2D5E"/>
          </w:tcPr>
          <w:p>
            <w:pPr>
              <w:jc w:val="center"/>
            </w:pPr>
            <w:r>
              <w:rPr>
                <w:rFonts w:ascii="Calibri" w:hAnsi="Calibri"/>
                <w:b/>
                <w:i w:val="0"/>
                <w:color w:val="FFFFFF"/>
                <w:sz w:val="19"/>
              </w:rPr>
              <w:t>When Run</w:t>
            </w:r>
          </w:p>
        </w:tc>
      </w:tr>
      <w:tr>
        <w:tc>
          <w:tcPr>
            <w:tcW w:type="dxa" w:w="3600"/>
            <w:shd w:val="clear" w:color="auto" w:fill="EFF6FF"/>
          </w:tcPr>
          <w:p>
            <w:r>
              <w:rPr>
                <w:rFonts w:ascii="Calibri" w:hAnsi="Calibri"/>
                <w:b w:val="0"/>
                <w:i w:val="0"/>
                <w:sz w:val="19"/>
              </w:rPr>
              <w:t>Smoke test</w:t>
            </w:r>
          </w:p>
        </w:tc>
        <w:tc>
          <w:tcPr>
            <w:tcW w:type="dxa" w:w="5760"/>
            <w:shd w:val="clear" w:color="auto" w:fill="EFF6FF"/>
          </w:tcPr>
          <w:p>
            <w:r>
              <w:rPr>
                <w:rFonts w:ascii="Calibri" w:hAnsi="Calibri"/>
                <w:b w:val="0"/>
                <w:i w:val="0"/>
                <w:sz w:val="19"/>
              </w:rPr>
              <w:t>Basic platform health check</w:t>
            </w:r>
          </w:p>
        </w:tc>
        <w:tc>
          <w:tcPr>
            <w:tcW w:type="dxa" w:w="3600"/>
            <w:shd w:val="clear" w:color="auto" w:fill="EFF6FF"/>
          </w:tcPr>
          <w:p>
            <w:r>
              <w:rPr>
                <w:rFonts w:ascii="Calibri" w:hAnsi="Calibri"/>
                <w:b w:val="0"/>
                <w:i w:val="0"/>
                <w:sz w:val="19"/>
              </w:rPr>
              <w:t>All 8 core functions operational</w:t>
            </w:r>
          </w:p>
        </w:tc>
        <w:tc>
          <w:tcPr>
            <w:tcW w:type="dxa" w:w="2592"/>
            <w:shd w:val="clear" w:color="auto" w:fill="EFF6FF"/>
          </w:tcPr>
          <w:p>
            <w:r>
              <w:rPr>
                <w:rFonts w:ascii="Calibri" w:hAnsi="Calibri"/>
                <w:b w:val="0"/>
                <w:i w:val="0"/>
                <w:sz w:val="19"/>
              </w:rPr>
              <w:t>Post-install</w:t>
            </w:r>
          </w:p>
        </w:tc>
      </w:tr>
      <w:tr>
        <w:tc>
          <w:tcPr>
            <w:tcW w:type="dxa" w:w="3600"/>
          </w:tcPr>
          <w:p>
            <w:r>
              <w:rPr>
                <w:rFonts w:ascii="Calibri" w:hAnsi="Calibri"/>
                <w:b w:val="0"/>
                <w:i w:val="0"/>
                <w:sz w:val="19"/>
              </w:rPr>
              <w:t>Integration test</w:t>
            </w:r>
          </w:p>
        </w:tc>
        <w:tc>
          <w:tcPr>
            <w:tcW w:type="dxa" w:w="5760"/>
          </w:tcPr>
          <w:p>
            <w:r>
              <w:rPr>
                <w:rFonts w:ascii="Calibri" w:hAnsi="Calibri"/>
                <w:b w:val="0"/>
                <w:i w:val="0"/>
                <w:sz w:val="19"/>
              </w:rPr>
              <w:t>Data flowing from all connected systems</w:t>
            </w:r>
          </w:p>
        </w:tc>
        <w:tc>
          <w:tcPr>
            <w:tcW w:type="dxa" w:w="3600"/>
          </w:tcPr>
          <w:p>
            <w:r>
              <w:rPr>
                <w:rFonts w:ascii="Calibri" w:hAnsi="Calibri"/>
                <w:b w:val="0"/>
                <w:i w:val="0"/>
                <w:sz w:val="19"/>
              </w:rPr>
              <w:t>Zero data gaps</w:t>
            </w:r>
          </w:p>
        </w:tc>
        <w:tc>
          <w:tcPr>
            <w:tcW w:type="dxa" w:w="2592"/>
          </w:tcPr>
          <w:p>
            <w:r>
              <w:rPr>
                <w:rFonts w:ascii="Calibri" w:hAnsi="Calibri"/>
                <w:b w:val="0"/>
                <w:i w:val="0"/>
                <w:sz w:val="19"/>
              </w:rPr>
              <w:t>Post-integration</w:t>
            </w:r>
          </w:p>
        </w:tc>
      </w:tr>
      <w:tr>
        <w:tc>
          <w:tcPr>
            <w:tcW w:type="dxa" w:w="3600"/>
            <w:shd w:val="clear" w:color="auto" w:fill="EFF6FF"/>
          </w:tcPr>
          <w:p>
            <w:r>
              <w:rPr>
                <w:rFonts w:ascii="Calibri" w:hAnsi="Calibri"/>
                <w:b w:val="0"/>
                <w:i w:val="0"/>
                <w:sz w:val="19"/>
              </w:rPr>
              <w:t>Agent accuracy test</w:t>
            </w:r>
          </w:p>
        </w:tc>
        <w:tc>
          <w:tcPr>
            <w:tcW w:type="dxa" w:w="5760"/>
            <w:shd w:val="clear" w:color="auto" w:fill="EFF6FF"/>
          </w:tcPr>
          <w:p>
            <w:r>
              <w:rPr>
                <w:rFonts w:ascii="Calibri" w:hAnsi="Calibri"/>
                <w:b w:val="0"/>
                <w:i w:val="0"/>
                <w:sz w:val="19"/>
              </w:rPr>
              <w:t>Run VSM on known dataset; verify outputs</w:t>
            </w:r>
          </w:p>
        </w:tc>
        <w:tc>
          <w:tcPr>
            <w:tcW w:type="dxa" w:w="3600"/>
            <w:shd w:val="clear" w:color="auto" w:fill="EFF6FF"/>
          </w:tcPr>
          <w:p>
            <w:r>
              <w:rPr>
                <w:rFonts w:ascii="Calibri" w:hAnsi="Calibri"/>
                <w:b w:val="0"/>
                <w:i w:val="0"/>
                <w:sz w:val="19"/>
              </w:rPr>
              <w:t>Within 5% of expected</w:t>
            </w:r>
          </w:p>
        </w:tc>
        <w:tc>
          <w:tcPr>
            <w:tcW w:type="dxa" w:w="2592"/>
            <w:shd w:val="clear" w:color="auto" w:fill="EFF6FF"/>
          </w:tcPr>
          <w:p>
            <w:r>
              <w:rPr>
                <w:rFonts w:ascii="Calibri" w:hAnsi="Calibri"/>
                <w:b w:val="0"/>
                <w:i w:val="0"/>
                <w:sz w:val="19"/>
              </w:rPr>
              <w:t>Pre go-live</w:t>
            </w:r>
          </w:p>
        </w:tc>
      </w:tr>
      <w:tr>
        <w:tc>
          <w:tcPr>
            <w:tcW w:type="dxa" w:w="3600"/>
          </w:tcPr>
          <w:p>
            <w:r>
              <w:rPr>
                <w:rFonts w:ascii="Calibri" w:hAnsi="Calibri"/>
                <w:b w:val="0"/>
                <w:i w:val="0"/>
                <w:sz w:val="19"/>
              </w:rPr>
              <w:t>Gate flow test</w:t>
            </w:r>
          </w:p>
        </w:tc>
        <w:tc>
          <w:tcPr>
            <w:tcW w:type="dxa" w:w="5760"/>
          </w:tcPr>
          <w:p>
            <w:r>
              <w:rPr>
                <w:rFonts w:ascii="Calibri" w:hAnsi="Calibri"/>
                <w:b w:val="0"/>
                <w:i w:val="0"/>
                <w:sz w:val="19"/>
              </w:rPr>
              <w:t>Trigger, approve, and override all 4 gates</w:t>
            </w:r>
          </w:p>
        </w:tc>
        <w:tc>
          <w:tcPr>
            <w:tcW w:type="dxa" w:w="3600"/>
          </w:tcPr>
          <w:p>
            <w:r>
              <w:rPr>
                <w:rFonts w:ascii="Calibri" w:hAnsi="Calibri"/>
                <w:b w:val="0"/>
                <w:i w:val="0"/>
                <w:sz w:val="19"/>
              </w:rPr>
              <w:t>100% audit captured</w:t>
            </w:r>
          </w:p>
        </w:tc>
        <w:tc>
          <w:tcPr>
            <w:tcW w:type="dxa" w:w="2592"/>
          </w:tcPr>
          <w:p>
            <w:r>
              <w:rPr>
                <w:rFonts w:ascii="Calibri" w:hAnsi="Calibri"/>
                <w:b w:val="0"/>
                <w:i w:val="0"/>
                <w:sz w:val="19"/>
              </w:rPr>
              <w:t>Pre go-live</w:t>
            </w:r>
          </w:p>
        </w:tc>
      </w:tr>
      <w:tr>
        <w:tc>
          <w:tcPr>
            <w:tcW w:type="dxa" w:w="3600"/>
            <w:shd w:val="clear" w:color="auto" w:fill="EFF6FF"/>
          </w:tcPr>
          <w:p>
            <w:r>
              <w:rPr>
                <w:rFonts w:ascii="Calibri" w:hAnsi="Calibri"/>
                <w:b w:val="0"/>
                <w:i w:val="0"/>
                <w:sz w:val="19"/>
              </w:rPr>
              <w:t>Load test</w:t>
            </w:r>
          </w:p>
        </w:tc>
        <w:tc>
          <w:tcPr>
            <w:tcW w:type="dxa" w:w="5760"/>
            <w:shd w:val="clear" w:color="auto" w:fill="EFF6FF"/>
          </w:tcPr>
          <w:p>
            <w:r>
              <w:rPr>
                <w:rFonts w:ascii="Calibri" w:hAnsi="Calibri"/>
                <w:b w:val="0"/>
                <w:i w:val="0"/>
                <w:sz w:val="19"/>
              </w:rPr>
              <w:t>50 concurrent users; 10 simultaneous agent runs</w:t>
            </w:r>
          </w:p>
        </w:tc>
        <w:tc>
          <w:tcPr>
            <w:tcW w:type="dxa" w:w="3600"/>
            <w:shd w:val="clear" w:color="auto" w:fill="EFF6FF"/>
          </w:tcPr>
          <w:p>
            <w:r>
              <w:rPr>
                <w:rFonts w:ascii="Calibri" w:hAnsi="Calibri"/>
                <w:b w:val="0"/>
                <w:i w:val="0"/>
                <w:sz w:val="19"/>
              </w:rPr>
              <w:t>Response &lt;3s</w:t>
            </w:r>
          </w:p>
        </w:tc>
        <w:tc>
          <w:tcPr>
            <w:tcW w:type="dxa" w:w="2592"/>
            <w:shd w:val="clear" w:color="auto" w:fill="EFF6FF"/>
          </w:tcPr>
          <w:p>
            <w:r>
              <w:rPr>
                <w:rFonts w:ascii="Calibri" w:hAnsi="Calibri"/>
                <w:b w:val="0"/>
                <w:i w:val="0"/>
                <w:sz w:val="19"/>
              </w:rPr>
              <w:t>Pre go-live</w:t>
            </w:r>
          </w:p>
        </w:tc>
      </w:tr>
      <w:tr>
        <w:tc>
          <w:tcPr>
            <w:tcW w:type="dxa" w:w="3600"/>
          </w:tcPr>
          <w:p>
            <w:r>
              <w:rPr>
                <w:rFonts w:ascii="Calibri" w:hAnsi="Calibri"/>
                <w:b w:val="0"/>
                <w:i w:val="0"/>
                <w:sz w:val="19"/>
              </w:rPr>
              <w:t>Security test</w:t>
            </w:r>
          </w:p>
        </w:tc>
        <w:tc>
          <w:tcPr>
            <w:tcW w:type="dxa" w:w="5760"/>
          </w:tcPr>
          <w:p>
            <w:r>
              <w:rPr>
                <w:rFonts w:ascii="Calibri" w:hAnsi="Calibri"/>
                <w:b w:val="0"/>
                <w:i w:val="0"/>
                <w:sz w:val="19"/>
              </w:rPr>
              <w:t>Pen test + SAST scan</w:t>
            </w:r>
          </w:p>
        </w:tc>
        <w:tc>
          <w:tcPr>
            <w:tcW w:type="dxa" w:w="3600"/>
          </w:tcPr>
          <w:p>
            <w:r>
              <w:rPr>
                <w:rFonts w:ascii="Calibri" w:hAnsi="Calibri"/>
                <w:b w:val="0"/>
                <w:i w:val="0"/>
                <w:sz w:val="19"/>
              </w:rPr>
              <w:t>Zero critical findings</w:t>
            </w:r>
          </w:p>
        </w:tc>
        <w:tc>
          <w:tcPr>
            <w:tcW w:type="dxa" w:w="2592"/>
          </w:tcPr>
          <w:p>
            <w:r>
              <w:rPr>
                <w:rFonts w:ascii="Calibri" w:hAnsi="Calibri"/>
                <w:b w:val="0"/>
                <w:i w:val="0"/>
                <w:sz w:val="19"/>
              </w:rPr>
              <w:t>Pre go-live + annual</w:t>
            </w:r>
          </w:p>
        </w:tc>
      </w:tr>
    </w:tbl>
    <w:p/>
    <w:p>
      <w:pPr>
        <w:spacing w:before="120" w:after="120"/>
        <w:pBdr>
          <w:bottom w:val="single" w:sz="6" w:space="1" w:color="2563EB"/>
        </w:pBdr>
      </w:pPr>
    </w:p>
    <w:p>
      <w:pPr>
        <w:spacing w:before="280" w:after="80"/>
      </w:pPr>
      <w:r>
        <w:rPr>
          <w:rFonts w:ascii="Calibri" w:hAnsi="Calibri"/>
          <w:b/>
          <w:i w:val="0"/>
          <w:color w:val="0F2D5E"/>
          <w:sz w:val="32"/>
        </w:rPr>
        <w:t>5. AI Agent Output Quality</w:t>
      </w:r>
    </w:p>
    <w:p>
      <w:pPr>
        <w:spacing w:before="200" w:after="60"/>
      </w:pPr>
      <w:r>
        <w:rPr>
          <w:rFonts w:ascii="Calibri" w:hAnsi="Calibri"/>
          <w:b/>
          <w:i w:val="0"/>
          <w:color w:val="2563EB"/>
          <w:sz w:val="26"/>
        </w:rPr>
        <w:t>Calibration Process</w:t>
      </w:r>
    </w:p>
    <w:p>
      <w:pPr>
        <w:spacing w:after="80"/>
      </w:pPr>
      <w:r>
        <w:rPr>
          <w:rFonts w:ascii="Calibri" w:hAnsi="Calibri"/>
          <w:b w:val="0"/>
          <w:i w:val="0"/>
          <w:sz w:val="21"/>
        </w:rPr>
        <w:t>Monthly calibration study: run platform agents on a held-out historical dataset with known outcomes. Compare AI output to validated ground truth. Recalibrate agent scoring weights if accuracy falls below threshold.</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3600"/>
            <w:shd w:val="clear" w:color="auto" w:fill="0F2D5E"/>
          </w:tcPr>
          <w:p>
            <w:pPr>
              <w:jc w:val="center"/>
            </w:pPr>
            <w:r>
              <w:rPr>
                <w:rFonts w:ascii="Calibri" w:hAnsi="Calibri"/>
                <w:b/>
                <w:i w:val="0"/>
                <w:color w:val="FFFFFF"/>
                <w:sz w:val="19"/>
              </w:rPr>
              <w:t>Agent</w:t>
            </w:r>
          </w:p>
        </w:tc>
        <w:tc>
          <w:tcPr>
            <w:tcW w:type="dxa" w:w="3600"/>
            <w:shd w:val="clear" w:color="auto" w:fill="0F2D5E"/>
          </w:tcPr>
          <w:p>
            <w:pPr>
              <w:jc w:val="center"/>
            </w:pPr>
            <w:r>
              <w:rPr>
                <w:rFonts w:ascii="Calibri" w:hAnsi="Calibri"/>
                <w:b/>
                <w:i w:val="0"/>
                <w:color w:val="FFFFFF"/>
                <w:sz w:val="19"/>
              </w:rPr>
              <w:t>Accuracy Threshold</w:t>
            </w:r>
          </w:p>
        </w:tc>
        <w:tc>
          <w:tcPr>
            <w:tcW w:type="dxa" w:w="4320"/>
            <w:shd w:val="clear" w:color="auto" w:fill="0F2D5E"/>
          </w:tcPr>
          <w:p>
            <w:pPr>
              <w:jc w:val="center"/>
            </w:pPr>
            <w:r>
              <w:rPr>
                <w:rFonts w:ascii="Calibri" w:hAnsi="Calibri"/>
                <w:b/>
                <w:i w:val="0"/>
                <w:color w:val="FFFFFF"/>
                <w:sz w:val="19"/>
              </w:rPr>
              <w:t>Calibration Dataset</w:t>
            </w:r>
          </w:p>
        </w:tc>
        <w:tc>
          <w:tcPr>
            <w:tcW w:type="dxa" w:w="3600"/>
            <w:shd w:val="clear" w:color="auto" w:fill="0F2D5E"/>
          </w:tcPr>
          <w:p>
            <w:pPr>
              <w:jc w:val="center"/>
            </w:pPr>
            <w:r>
              <w:rPr>
                <w:rFonts w:ascii="Calibri" w:hAnsi="Calibri"/>
                <w:b/>
                <w:i w:val="0"/>
                <w:color w:val="FFFFFF"/>
                <w:sz w:val="19"/>
              </w:rPr>
              <w:t>Recalibration Trigger</w:t>
            </w:r>
          </w:p>
        </w:tc>
      </w:tr>
      <w:tr>
        <w:tc>
          <w:tcPr>
            <w:tcW w:type="dxa" w:w="3600"/>
            <w:shd w:val="clear" w:color="auto" w:fill="EFF6FF"/>
          </w:tcPr>
          <w:p>
            <w:r>
              <w:rPr>
                <w:rFonts w:ascii="Calibri" w:hAnsi="Calibri"/>
                <w:b w:val="0"/>
                <w:i w:val="0"/>
                <w:sz w:val="19"/>
              </w:rPr>
              <w:t>VSM Discovery</w:t>
            </w:r>
          </w:p>
        </w:tc>
        <w:tc>
          <w:tcPr>
            <w:tcW w:type="dxa" w:w="3600"/>
            <w:shd w:val="clear" w:color="auto" w:fill="EFF6FF"/>
          </w:tcPr>
          <w:p>
            <w:r>
              <w:rPr>
                <w:rFonts w:ascii="Calibri" w:hAnsi="Calibri"/>
                <w:b w:val="0"/>
                <w:i w:val="0"/>
                <w:sz w:val="19"/>
              </w:rPr>
              <w:t>±5% step count accuracy</w:t>
            </w:r>
          </w:p>
        </w:tc>
        <w:tc>
          <w:tcPr>
            <w:tcW w:type="dxa" w:w="4320"/>
            <w:shd w:val="clear" w:color="auto" w:fill="EFF6FF"/>
          </w:tcPr>
          <w:p>
            <w:r>
              <w:rPr>
                <w:rFonts w:ascii="Calibri" w:hAnsi="Calibri"/>
                <w:b w:val="0"/>
                <w:i w:val="0"/>
                <w:sz w:val="19"/>
              </w:rPr>
              <w:t>Previous quarter VSM</w:t>
            </w:r>
          </w:p>
        </w:tc>
        <w:tc>
          <w:tcPr>
            <w:tcW w:type="dxa" w:w="3600"/>
            <w:shd w:val="clear" w:color="auto" w:fill="EFF6FF"/>
          </w:tcPr>
          <w:p>
            <w:r>
              <w:rPr>
                <w:rFonts w:ascii="Calibri" w:hAnsi="Calibri"/>
                <w:b w:val="0"/>
                <w:i w:val="0"/>
                <w:sz w:val="19"/>
              </w:rPr>
              <w:t>Accuracy &lt;95%</w:t>
            </w:r>
          </w:p>
        </w:tc>
      </w:tr>
      <w:tr>
        <w:tc>
          <w:tcPr>
            <w:tcW w:type="dxa" w:w="3600"/>
          </w:tcPr>
          <w:p>
            <w:r>
              <w:rPr>
                <w:rFonts w:ascii="Calibri" w:hAnsi="Calibri"/>
                <w:b w:val="0"/>
                <w:i w:val="0"/>
                <w:sz w:val="19"/>
              </w:rPr>
              <w:t>Bottleneck Scorer</w:t>
            </w:r>
          </w:p>
        </w:tc>
        <w:tc>
          <w:tcPr>
            <w:tcW w:type="dxa" w:w="3600"/>
          </w:tcPr>
          <w:p>
            <w:r>
              <w:rPr>
                <w:rFonts w:ascii="Calibri" w:hAnsi="Calibri"/>
                <w:b w:val="0"/>
                <w:i w:val="0"/>
                <w:sz w:val="19"/>
              </w:rPr>
              <w:t>±10% ranking accuracy</w:t>
            </w:r>
          </w:p>
        </w:tc>
        <w:tc>
          <w:tcPr>
            <w:tcW w:type="dxa" w:w="4320"/>
          </w:tcPr>
          <w:p>
            <w:r>
              <w:rPr>
                <w:rFonts w:ascii="Calibri" w:hAnsi="Calibri"/>
                <w:b w:val="0"/>
                <w:i w:val="0"/>
                <w:sz w:val="19"/>
              </w:rPr>
              <w:t>Validated bottleneck register</w:t>
            </w:r>
          </w:p>
        </w:tc>
        <w:tc>
          <w:tcPr>
            <w:tcW w:type="dxa" w:w="3600"/>
          </w:tcPr>
          <w:p>
            <w:r>
              <w:rPr>
                <w:rFonts w:ascii="Calibri" w:hAnsi="Calibri"/>
                <w:b w:val="0"/>
                <w:i w:val="0"/>
                <w:sz w:val="19"/>
              </w:rPr>
              <w:t>Accuracy &lt;90%</w:t>
            </w:r>
          </w:p>
        </w:tc>
      </w:tr>
      <w:tr>
        <w:tc>
          <w:tcPr>
            <w:tcW w:type="dxa" w:w="3600"/>
            <w:shd w:val="clear" w:color="auto" w:fill="EFF6FF"/>
          </w:tcPr>
          <w:p>
            <w:r>
              <w:rPr>
                <w:rFonts w:ascii="Calibri" w:hAnsi="Calibri"/>
                <w:b w:val="0"/>
                <w:i w:val="0"/>
                <w:sz w:val="19"/>
              </w:rPr>
              <w:t>Option Modeller</w:t>
            </w:r>
          </w:p>
        </w:tc>
        <w:tc>
          <w:tcPr>
            <w:tcW w:type="dxa" w:w="3600"/>
            <w:shd w:val="clear" w:color="auto" w:fill="EFF6FF"/>
          </w:tcPr>
          <w:p>
            <w:r>
              <w:rPr>
                <w:rFonts w:ascii="Calibri" w:hAnsi="Calibri"/>
                <w:b w:val="0"/>
                <w:i w:val="0"/>
                <w:sz w:val="19"/>
              </w:rPr>
              <w:t>±15% ROI projection accuracy</w:t>
            </w:r>
          </w:p>
        </w:tc>
        <w:tc>
          <w:tcPr>
            <w:tcW w:type="dxa" w:w="4320"/>
            <w:shd w:val="clear" w:color="auto" w:fill="EFF6FF"/>
          </w:tcPr>
          <w:p>
            <w:r>
              <w:rPr>
                <w:rFonts w:ascii="Calibri" w:hAnsi="Calibri"/>
                <w:b w:val="0"/>
                <w:i w:val="0"/>
                <w:sz w:val="19"/>
              </w:rPr>
              <w:t>Completed engagement actuals</w:t>
            </w:r>
          </w:p>
        </w:tc>
        <w:tc>
          <w:tcPr>
            <w:tcW w:type="dxa" w:w="3600"/>
            <w:shd w:val="clear" w:color="auto" w:fill="EFF6FF"/>
          </w:tcPr>
          <w:p>
            <w:r>
              <w:rPr>
                <w:rFonts w:ascii="Calibri" w:hAnsi="Calibri"/>
                <w:b w:val="0"/>
                <w:i w:val="0"/>
                <w:sz w:val="19"/>
              </w:rPr>
              <w:t>Accuracy &lt;85%</w:t>
            </w:r>
          </w:p>
        </w:tc>
      </w:tr>
      <w:tr>
        <w:tc>
          <w:tcPr>
            <w:tcW w:type="dxa" w:w="3600"/>
          </w:tcPr>
          <w:p>
            <w:r>
              <w:rPr>
                <w:rFonts w:ascii="Calibri" w:hAnsi="Calibri"/>
                <w:b w:val="0"/>
                <w:i w:val="0"/>
                <w:sz w:val="19"/>
              </w:rPr>
              <w:t>Benefits Tracker</w:t>
            </w:r>
          </w:p>
        </w:tc>
        <w:tc>
          <w:tcPr>
            <w:tcW w:type="dxa" w:w="3600"/>
          </w:tcPr>
          <w:p>
            <w:r>
              <w:rPr>
                <w:rFonts w:ascii="Calibri" w:hAnsi="Calibri"/>
                <w:b w:val="0"/>
                <w:i w:val="0"/>
                <w:sz w:val="19"/>
              </w:rPr>
              <w:t>±5% metric extraction accuracy</w:t>
            </w:r>
          </w:p>
        </w:tc>
        <w:tc>
          <w:tcPr>
            <w:tcW w:type="dxa" w:w="4320"/>
          </w:tcPr>
          <w:p>
            <w:r>
              <w:rPr>
                <w:rFonts w:ascii="Calibri" w:hAnsi="Calibri"/>
                <w:b w:val="0"/>
                <w:i w:val="0"/>
                <w:sz w:val="19"/>
              </w:rPr>
              <w:t>Source system actuals</w:t>
            </w:r>
          </w:p>
        </w:tc>
        <w:tc>
          <w:tcPr>
            <w:tcW w:type="dxa" w:w="3600"/>
          </w:tcPr>
          <w:p>
            <w:r>
              <w:rPr>
                <w:rFonts w:ascii="Calibri" w:hAnsi="Calibri"/>
                <w:b w:val="0"/>
                <w:i w:val="0"/>
                <w:sz w:val="19"/>
              </w:rPr>
              <w:t>Accuracy &lt;95%</w:t>
            </w:r>
          </w:p>
        </w:tc>
      </w:tr>
    </w:tbl>
    <w:p/>
    <w:p>
      <w:pPr>
        <w:spacing w:before="120" w:after="120"/>
        <w:pBdr>
          <w:bottom w:val="single" w:sz="6" w:space="1" w:color="2563EB"/>
        </w:pBdr>
      </w:pPr>
    </w:p>
    <w:p>
      <w:pPr>
        <w:spacing w:before="280" w:after="80"/>
      </w:pPr>
      <w:r>
        <w:rPr>
          <w:rFonts w:ascii="Calibri" w:hAnsi="Calibri"/>
          <w:b/>
          <w:i w:val="0"/>
          <w:color w:val="0F2D5E"/>
          <w:sz w:val="32"/>
        </w:rPr>
        <w:t>6. Defect Management</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880"/>
            <w:shd w:val="clear" w:color="auto" w:fill="0F2D5E"/>
          </w:tcPr>
          <w:p>
            <w:pPr>
              <w:jc w:val="center"/>
            </w:pPr>
            <w:r>
              <w:rPr>
                <w:rFonts w:ascii="Calibri" w:hAnsi="Calibri"/>
                <w:b/>
                <w:i w:val="0"/>
                <w:color w:val="FFFFFF"/>
                <w:sz w:val="19"/>
              </w:rPr>
              <w:t>Defect Severity</w:t>
            </w:r>
          </w:p>
        </w:tc>
        <w:tc>
          <w:tcPr>
            <w:tcW w:type="dxa" w:w="5760"/>
            <w:shd w:val="clear" w:color="auto" w:fill="0F2D5E"/>
          </w:tcPr>
          <w:p>
            <w:pPr>
              <w:jc w:val="center"/>
            </w:pPr>
            <w:r>
              <w:rPr>
                <w:rFonts w:ascii="Calibri" w:hAnsi="Calibri"/>
                <w:b/>
                <w:i w:val="0"/>
                <w:color w:val="FFFFFF"/>
                <w:sz w:val="19"/>
              </w:rPr>
              <w:t>Definition</w:t>
            </w:r>
          </w:p>
        </w:tc>
        <w:tc>
          <w:tcPr>
            <w:tcW w:type="dxa" w:w="2880"/>
            <w:shd w:val="clear" w:color="auto" w:fill="0F2D5E"/>
          </w:tcPr>
          <w:p>
            <w:pPr>
              <w:jc w:val="center"/>
            </w:pPr>
            <w:r>
              <w:rPr>
                <w:rFonts w:ascii="Calibri" w:hAnsi="Calibri"/>
                <w:b/>
                <w:i w:val="0"/>
                <w:color w:val="FFFFFF"/>
                <w:sz w:val="19"/>
              </w:rPr>
              <w:t>Response Time</w:t>
            </w:r>
          </w:p>
        </w:tc>
        <w:tc>
          <w:tcPr>
            <w:tcW w:type="dxa" w:w="3600"/>
            <w:shd w:val="clear" w:color="auto" w:fill="0F2D5E"/>
          </w:tcPr>
          <w:p>
            <w:pPr>
              <w:jc w:val="center"/>
            </w:pPr>
            <w:r>
              <w:rPr>
                <w:rFonts w:ascii="Calibri" w:hAnsi="Calibri"/>
                <w:b/>
                <w:i w:val="0"/>
                <w:color w:val="FFFFFF"/>
                <w:sz w:val="19"/>
              </w:rPr>
              <w:t>Escalation</w:t>
            </w:r>
          </w:p>
        </w:tc>
      </w:tr>
      <w:tr>
        <w:tc>
          <w:tcPr>
            <w:tcW w:type="dxa" w:w="2880"/>
            <w:shd w:val="clear" w:color="auto" w:fill="EFF6FF"/>
          </w:tcPr>
          <w:p>
            <w:r>
              <w:rPr>
                <w:rFonts w:ascii="Calibri" w:hAnsi="Calibri"/>
                <w:b w:val="0"/>
                <w:i w:val="0"/>
                <w:sz w:val="19"/>
              </w:rPr>
              <w:t>Critical</w:t>
            </w:r>
          </w:p>
        </w:tc>
        <w:tc>
          <w:tcPr>
            <w:tcW w:type="dxa" w:w="5760"/>
            <w:shd w:val="clear" w:color="auto" w:fill="EFF6FF"/>
          </w:tcPr>
          <w:p>
            <w:r>
              <w:rPr>
                <w:rFonts w:ascii="Calibri" w:hAnsi="Calibri"/>
                <w:b w:val="0"/>
                <w:i w:val="0"/>
                <w:sz w:val="19"/>
              </w:rPr>
              <w:t>Platform down or AI producing incorrect data</w:t>
            </w:r>
          </w:p>
        </w:tc>
        <w:tc>
          <w:tcPr>
            <w:tcW w:type="dxa" w:w="2880"/>
            <w:shd w:val="clear" w:color="auto" w:fill="EFF6FF"/>
          </w:tcPr>
          <w:p>
            <w:r>
              <w:rPr>
                <w:rFonts w:ascii="Calibri" w:hAnsi="Calibri"/>
                <w:b w:val="0"/>
                <w:i w:val="0"/>
                <w:sz w:val="19"/>
              </w:rPr>
              <w:t>2 hours</w:t>
            </w:r>
          </w:p>
        </w:tc>
        <w:tc>
          <w:tcPr>
            <w:tcW w:type="dxa" w:w="3600"/>
            <w:shd w:val="clear" w:color="auto" w:fill="EFF6FF"/>
          </w:tcPr>
          <w:p>
            <w:r>
              <w:rPr>
                <w:rFonts w:ascii="Calibri" w:hAnsi="Calibri"/>
                <w:b w:val="0"/>
                <w:i w:val="0"/>
                <w:sz w:val="19"/>
              </w:rPr>
              <w:t>CTO + Client IT Director</w:t>
            </w:r>
          </w:p>
        </w:tc>
      </w:tr>
      <w:tr>
        <w:tc>
          <w:tcPr>
            <w:tcW w:type="dxa" w:w="2880"/>
          </w:tcPr>
          <w:p>
            <w:r>
              <w:rPr>
                <w:rFonts w:ascii="Calibri" w:hAnsi="Calibri"/>
                <w:b w:val="0"/>
                <w:i w:val="0"/>
                <w:sz w:val="19"/>
              </w:rPr>
              <w:t>High</w:t>
            </w:r>
          </w:p>
        </w:tc>
        <w:tc>
          <w:tcPr>
            <w:tcW w:type="dxa" w:w="5760"/>
          </w:tcPr>
          <w:p>
            <w:r>
              <w:rPr>
                <w:rFonts w:ascii="Calibri" w:hAnsi="Calibri"/>
                <w:b w:val="0"/>
                <w:i w:val="0"/>
                <w:sz w:val="19"/>
              </w:rPr>
              <w:t>Key feature broken, gate not triggering</w:t>
            </w:r>
          </w:p>
        </w:tc>
        <w:tc>
          <w:tcPr>
            <w:tcW w:type="dxa" w:w="2880"/>
          </w:tcPr>
          <w:p>
            <w:r>
              <w:rPr>
                <w:rFonts w:ascii="Calibri" w:hAnsi="Calibri"/>
                <w:b w:val="0"/>
                <w:i w:val="0"/>
                <w:sz w:val="19"/>
              </w:rPr>
              <w:t>8 hours</w:t>
            </w:r>
          </w:p>
        </w:tc>
        <w:tc>
          <w:tcPr>
            <w:tcW w:type="dxa" w:w="3600"/>
          </w:tcPr>
          <w:p>
            <w:r>
              <w:rPr>
                <w:rFonts w:ascii="Calibri" w:hAnsi="Calibri"/>
                <w:b w:val="0"/>
                <w:i w:val="0"/>
                <w:sz w:val="19"/>
              </w:rPr>
              <w:t>Engagement Lead</w:t>
            </w:r>
          </w:p>
        </w:tc>
      </w:tr>
      <w:tr>
        <w:tc>
          <w:tcPr>
            <w:tcW w:type="dxa" w:w="2880"/>
            <w:shd w:val="clear" w:color="auto" w:fill="EFF6FF"/>
          </w:tcPr>
          <w:p>
            <w:r>
              <w:rPr>
                <w:rFonts w:ascii="Calibri" w:hAnsi="Calibri"/>
                <w:b w:val="0"/>
                <w:i w:val="0"/>
                <w:sz w:val="19"/>
              </w:rPr>
              <w:t>Medium</w:t>
            </w:r>
          </w:p>
        </w:tc>
        <w:tc>
          <w:tcPr>
            <w:tcW w:type="dxa" w:w="5760"/>
            <w:shd w:val="clear" w:color="auto" w:fill="EFF6FF"/>
          </w:tcPr>
          <w:p>
            <w:r>
              <w:rPr>
                <w:rFonts w:ascii="Calibri" w:hAnsi="Calibri"/>
                <w:b w:val="0"/>
                <w:i w:val="0"/>
                <w:sz w:val="19"/>
              </w:rPr>
              <w:t>Non-critical feature degraded</w:t>
            </w:r>
          </w:p>
        </w:tc>
        <w:tc>
          <w:tcPr>
            <w:tcW w:type="dxa" w:w="2880"/>
            <w:shd w:val="clear" w:color="auto" w:fill="EFF6FF"/>
          </w:tcPr>
          <w:p>
            <w:r>
              <w:rPr>
                <w:rFonts w:ascii="Calibri" w:hAnsi="Calibri"/>
                <w:b w:val="0"/>
                <w:i w:val="0"/>
                <w:sz w:val="19"/>
              </w:rPr>
              <w:t>24 hours</w:t>
            </w:r>
          </w:p>
        </w:tc>
        <w:tc>
          <w:tcPr>
            <w:tcW w:type="dxa" w:w="3600"/>
            <w:shd w:val="clear" w:color="auto" w:fill="EFF6FF"/>
          </w:tcPr>
          <w:p>
            <w:r>
              <w:rPr>
                <w:rFonts w:ascii="Calibri" w:hAnsi="Calibri"/>
                <w:b w:val="0"/>
                <w:i w:val="0"/>
                <w:sz w:val="19"/>
              </w:rPr>
              <w:t>Platform Team</w:t>
            </w:r>
          </w:p>
        </w:tc>
      </w:tr>
      <w:tr>
        <w:tc>
          <w:tcPr>
            <w:tcW w:type="dxa" w:w="2880"/>
          </w:tcPr>
          <w:p>
            <w:r>
              <w:rPr>
                <w:rFonts w:ascii="Calibri" w:hAnsi="Calibri"/>
                <w:b w:val="0"/>
                <w:i w:val="0"/>
                <w:sz w:val="19"/>
              </w:rPr>
              <w:t>Low</w:t>
            </w:r>
          </w:p>
        </w:tc>
        <w:tc>
          <w:tcPr>
            <w:tcW w:type="dxa" w:w="5760"/>
          </w:tcPr>
          <w:p>
            <w:r>
              <w:rPr>
                <w:rFonts w:ascii="Calibri" w:hAnsi="Calibri"/>
                <w:b w:val="0"/>
                <w:i w:val="0"/>
                <w:sz w:val="19"/>
              </w:rPr>
              <w:t>UI issue or minor data display</w:t>
            </w:r>
          </w:p>
        </w:tc>
        <w:tc>
          <w:tcPr>
            <w:tcW w:type="dxa" w:w="2880"/>
          </w:tcPr>
          <w:p>
            <w:r>
              <w:rPr>
                <w:rFonts w:ascii="Calibri" w:hAnsi="Calibri"/>
                <w:b w:val="0"/>
                <w:i w:val="0"/>
                <w:sz w:val="19"/>
              </w:rPr>
              <w:t>5 business days</w:t>
            </w:r>
          </w:p>
        </w:tc>
        <w:tc>
          <w:tcPr>
            <w:tcW w:type="dxa" w:w="3600"/>
          </w:tcPr>
          <w:p>
            <w:r>
              <w:rPr>
                <w:rFonts w:ascii="Calibri" w:hAnsi="Calibri"/>
                <w:b w:val="0"/>
                <w:i w:val="0"/>
                <w:sz w:val="19"/>
              </w:rPr>
              <w:t>Standard backlog</w:t>
            </w:r>
          </w:p>
        </w:tc>
      </w:tr>
    </w:tbl>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Calibri" w:hAnsi="Calibri"/>
    </w:rPr>
  </w:style>
  <w:style w:type="character" w:customStyle="1" w:styleId="HeaderChar">
    <w:name w:val="Header Char"/>
    <w:basedOn w:val="DefaultParagraphFont"/>
    <w:link w:val="Header"/>
    <w:uiPriority w:val="99"/>
    <w:rsid w:val="00E618BF"/>
    <w:rPr>
      <w:rFonts w:ascii="Calibri" w:hAnsi="Calibri"/>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Calibri" w:hAnsi="Calibri"/>
    </w:rPr>
  </w:style>
  <w:style w:type="character" w:customStyle="1" w:styleId="FooterChar">
    <w:name w:val="Footer Char"/>
    <w:basedOn w:val="DefaultParagraphFont"/>
    <w:link w:val="Footer"/>
    <w:uiPriority w:val="99"/>
    <w:rsid w:val="00E618B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Calibri" w:hAnsi="Calibr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Calibri" w:hAnsi="Calibr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Calibri" w:hAnsi="Calibr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Calibri" w:hAnsi="Calibr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Calibri" w:hAnsi="Calibri"/>
      <w:i/>
      <w:iCs/>
      <w:color w:val="404040" w:themeColor="text1" w:themeTint="BF"/>
      <w:sz w:val="20"/>
      <w:szCs w:val="20"/>
    </w:rPr>
  </w:style>
  <w:style w:type="character" w:default="1" w:styleId="DefaultParagraphFont">
    <w:name w:val="Default Paragraph Font"/>
    <w:uiPriority w:val="1"/>
    <w:semiHidden/>
    <w:unhideWhenUsed/>
    <w:rPr>
      <w:rFonts w:ascii="Calibri" w:hAnsi="Calibri"/>
    </w:rPr>
  </w:style>
  <w:style w:type="table" w:default="1" w:styleId="TableNormal">
    <w:name w:val="Normal Table"/>
    <w:uiPriority w:val="99"/>
    <w:semiHidden/>
    <w:unhideWhenUsed/>
    <w:rPr>
      <w:rFonts w:ascii="Calibri" w:hAnsi="Calibri"/>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Calibri" w:hAnsi="Calibri"/>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Calibri" w:hAnsi="Calibr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Calibri" w:hAnsi="Calibr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Calibri" w:hAnsi="Calibr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Calibri" w:hAnsi="Calibr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Calibri" w:hAnsi="Calibr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Calibri" w:hAnsi="Calibri"/>
    </w:rPr>
  </w:style>
  <w:style w:type="paragraph" w:styleId="BodyText">
    <w:name w:val="Body Text"/>
    <w:basedOn w:val="Normal"/>
    <w:link w:val="BodyTextChar"/>
    <w:uiPriority w:val="99"/>
    <w:unhideWhenUsed/>
    <w:rsid w:val="00AA1D8D"/>
    <w:pPr>
      <w:spacing w:after="120"/>
    </w:pPr>
    <w:rPr>
      <w:rFonts w:ascii="Calibri" w:hAnsi="Calibri"/>
    </w:rPr>
  </w:style>
  <w:style w:type="character" w:customStyle="1" w:styleId="BodyTextChar">
    <w:name w:val="Body Text Char"/>
    <w:basedOn w:val="DefaultParagraphFont"/>
    <w:link w:val="BodyText"/>
    <w:uiPriority w:val="99"/>
    <w:rsid w:val="00AA1D8D"/>
    <w:rPr>
      <w:rFonts w:ascii="Calibri" w:hAnsi="Calibri"/>
    </w:rPr>
  </w:style>
  <w:style w:type="paragraph" w:styleId="BodyText2">
    <w:name w:val="Body Text 2"/>
    <w:basedOn w:val="Normal"/>
    <w:link w:val="BodyText2Char"/>
    <w:uiPriority w:val="99"/>
    <w:unhideWhenUsed/>
    <w:rsid w:val="00AA1D8D"/>
    <w:pPr>
      <w:spacing w:after="120" w:line="480" w:lineRule="auto"/>
    </w:pPr>
    <w:rPr>
      <w:rFonts w:ascii="Calibri" w:hAnsi="Calibri"/>
    </w:rPr>
  </w:style>
  <w:style w:type="character" w:customStyle="1" w:styleId="BodyText2Char">
    <w:name w:val="Body Text 2 Char"/>
    <w:basedOn w:val="DefaultParagraphFont"/>
    <w:link w:val="BodyText2"/>
    <w:uiPriority w:val="99"/>
    <w:rsid w:val="00AA1D8D"/>
    <w:rPr>
      <w:rFonts w:ascii="Calibri" w:hAnsi="Calibri"/>
    </w:rPr>
  </w:style>
  <w:style w:type="paragraph" w:styleId="BodyText3">
    <w:name w:val="Body Text 3"/>
    <w:basedOn w:val="Normal"/>
    <w:link w:val="BodyText3Char"/>
    <w:uiPriority w:val="99"/>
    <w:unhideWhenUsed/>
    <w:rsid w:val="00AA1D8D"/>
    <w:pPr>
      <w:spacing w:after="120"/>
    </w:pPr>
    <w:rPr>
      <w:rFonts w:ascii="Calibri" w:hAnsi="Calibri"/>
      <w:sz w:val="16"/>
      <w:szCs w:val="16"/>
    </w:rPr>
  </w:style>
  <w:style w:type="character" w:customStyle="1" w:styleId="BodyText3Char">
    <w:name w:val="Body Text 3 Char"/>
    <w:basedOn w:val="DefaultParagraphFont"/>
    <w:link w:val="BodyText3"/>
    <w:uiPriority w:val="99"/>
    <w:rsid w:val="00AA1D8D"/>
    <w:rPr>
      <w:rFonts w:ascii="Calibri" w:hAnsi="Calibri"/>
      <w:sz w:val="16"/>
      <w:szCs w:val="16"/>
    </w:rPr>
  </w:style>
  <w:style w:type="paragraph" w:styleId="List">
    <w:name w:val="List"/>
    <w:basedOn w:val="Normal"/>
    <w:uiPriority w:val="99"/>
    <w:unhideWhenUsed/>
    <w:rsid w:val="00AA1D8D"/>
    <w:pPr>
      <w:ind w:left="360" w:hanging="360"/>
      <w:contextualSpacing/>
    </w:pPr>
    <w:rPr>
      <w:rFonts w:ascii="Calibri" w:hAnsi="Calibri"/>
    </w:rPr>
  </w:style>
  <w:style w:type="paragraph" w:styleId="List2">
    <w:name w:val="List 2"/>
    <w:basedOn w:val="Normal"/>
    <w:uiPriority w:val="99"/>
    <w:unhideWhenUsed/>
    <w:rsid w:val="00326F90"/>
    <w:pPr>
      <w:ind w:left="720" w:hanging="360"/>
      <w:contextualSpacing/>
    </w:pPr>
    <w:rPr>
      <w:rFonts w:ascii="Calibri" w:hAnsi="Calibri"/>
    </w:rPr>
  </w:style>
  <w:style w:type="paragraph" w:styleId="List3">
    <w:name w:val="List 3"/>
    <w:basedOn w:val="Normal"/>
    <w:uiPriority w:val="99"/>
    <w:unhideWhenUsed/>
    <w:rsid w:val="00326F90"/>
    <w:pPr>
      <w:ind w:left="1080" w:hanging="360"/>
      <w:contextualSpacing/>
    </w:pPr>
    <w:rPr>
      <w:rFonts w:ascii="Calibri" w:hAnsi="Calibri"/>
    </w:rPr>
  </w:style>
  <w:style w:type="paragraph" w:styleId="ListBullet">
    <w:name w:val="List Bullet"/>
    <w:basedOn w:val="Normal"/>
    <w:uiPriority w:val="99"/>
    <w:unhideWhenUsed/>
    <w:rsid w:val="00326F90"/>
    <w:pPr>
      <w:numPr>
        <w:numId w:val="1"/>
      </w:numPr>
      <w:contextualSpacing/>
    </w:pPr>
    <w:rPr>
      <w:rFonts w:ascii="Calibri" w:hAnsi="Calibri"/>
    </w:rPr>
  </w:style>
  <w:style w:type="paragraph" w:styleId="ListBullet2">
    <w:name w:val="List Bullet 2"/>
    <w:basedOn w:val="Normal"/>
    <w:uiPriority w:val="99"/>
    <w:unhideWhenUsed/>
    <w:rsid w:val="00326F90"/>
    <w:pPr>
      <w:numPr>
        <w:numId w:val="2"/>
      </w:numPr>
      <w:contextualSpacing/>
    </w:pPr>
    <w:rPr>
      <w:rFonts w:ascii="Calibri" w:hAnsi="Calibri"/>
    </w:rPr>
  </w:style>
  <w:style w:type="paragraph" w:styleId="ListBullet3">
    <w:name w:val="List Bullet 3"/>
    <w:basedOn w:val="Normal"/>
    <w:uiPriority w:val="99"/>
    <w:unhideWhenUsed/>
    <w:rsid w:val="00326F90"/>
    <w:pPr>
      <w:numPr>
        <w:numId w:val="3"/>
      </w:numPr>
      <w:contextualSpacing/>
    </w:pPr>
    <w:rPr>
      <w:rFonts w:ascii="Calibri" w:hAnsi="Calibri"/>
    </w:rPr>
  </w:style>
  <w:style w:type="paragraph" w:styleId="ListNumber">
    <w:name w:val="List Number"/>
    <w:basedOn w:val="Normal"/>
    <w:uiPriority w:val="99"/>
    <w:unhideWhenUsed/>
    <w:rsid w:val="00326F90"/>
    <w:pPr>
      <w:numPr>
        <w:numId w:val="5"/>
      </w:numPr>
      <w:contextualSpacing/>
    </w:pPr>
    <w:rPr>
      <w:rFonts w:ascii="Calibri" w:hAnsi="Calibri"/>
    </w:rPr>
  </w:style>
  <w:style w:type="paragraph" w:styleId="ListNumber2">
    <w:name w:val="List Number 2"/>
    <w:basedOn w:val="Normal"/>
    <w:uiPriority w:val="99"/>
    <w:unhideWhenUsed/>
    <w:rsid w:val="0029639D"/>
    <w:pPr>
      <w:numPr>
        <w:numId w:val="6"/>
      </w:numPr>
      <w:contextualSpacing/>
    </w:pPr>
    <w:rPr>
      <w:rFonts w:ascii="Calibri" w:hAnsi="Calibri"/>
    </w:rPr>
  </w:style>
  <w:style w:type="paragraph" w:styleId="ListNumber3">
    <w:name w:val="List Number 3"/>
    <w:basedOn w:val="Normal"/>
    <w:uiPriority w:val="99"/>
    <w:unhideWhenUsed/>
    <w:rsid w:val="0029639D"/>
    <w:pPr>
      <w:numPr>
        <w:numId w:val="7"/>
      </w:numPr>
      <w:contextualSpacing/>
    </w:pPr>
    <w:rPr>
      <w:rFonts w:ascii="Calibri" w:hAnsi="Calibri"/>
    </w:rPr>
  </w:style>
  <w:style w:type="paragraph" w:styleId="ListContinue">
    <w:name w:val="List Continue"/>
    <w:basedOn w:val="Normal"/>
    <w:uiPriority w:val="99"/>
    <w:unhideWhenUsed/>
    <w:rsid w:val="0029639D"/>
    <w:pPr>
      <w:spacing w:after="120"/>
      <w:ind w:left="360"/>
      <w:contextualSpacing/>
    </w:pPr>
    <w:rPr>
      <w:rFonts w:ascii="Calibri" w:hAnsi="Calibri"/>
    </w:rPr>
  </w:style>
  <w:style w:type="paragraph" w:styleId="ListContinue2">
    <w:name w:val="List Continue 2"/>
    <w:basedOn w:val="Normal"/>
    <w:uiPriority w:val="99"/>
    <w:unhideWhenUsed/>
    <w:rsid w:val="0029639D"/>
    <w:pPr>
      <w:spacing w:after="120"/>
      <w:ind w:left="720"/>
      <w:contextualSpacing/>
    </w:pPr>
    <w:rPr>
      <w:rFonts w:ascii="Calibri" w:hAnsi="Calibri"/>
    </w:rPr>
  </w:style>
  <w:style w:type="paragraph" w:styleId="ListContinue3">
    <w:name w:val="List Continue 3"/>
    <w:basedOn w:val="Normal"/>
    <w:uiPriority w:val="99"/>
    <w:unhideWhenUsed/>
    <w:rsid w:val="0029639D"/>
    <w:pPr>
      <w:spacing w:after="120"/>
      <w:ind w:left="1080"/>
      <w:contextualSpacing/>
    </w:pPr>
    <w:rPr>
      <w:rFonts w:ascii="Calibri" w:hAnsi="Calibri"/>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alibri" w:hAnsi="Calibri"/>
      <w:sz w:val="20"/>
      <w:szCs w:val="20"/>
    </w:rPr>
  </w:style>
  <w:style w:type="character" w:customStyle="1" w:styleId="MacroTextChar">
    <w:name w:val="Macro Text Char"/>
    <w:basedOn w:val="DefaultParagraphFont"/>
    <w:link w:val="MacroText"/>
    <w:uiPriority w:val="99"/>
    <w:rsid w:val="0029639D"/>
    <w:rPr>
      <w:rFonts w:ascii="Calibri" w:hAnsi="Calibri"/>
      <w:sz w:val="20"/>
      <w:szCs w:val="20"/>
    </w:rPr>
  </w:style>
  <w:style w:type="paragraph" w:styleId="Quote">
    <w:name w:val="Quote"/>
    <w:basedOn w:val="Normal"/>
    <w:next w:val="Normal"/>
    <w:link w:val="QuoteChar"/>
    <w:uiPriority w:val="29"/>
    <w:qFormat/>
    <w:rsid w:val="00FC693F"/>
    <w:rPr>
      <w:rFonts w:ascii="Calibri" w:hAnsi="Calibri"/>
      <w:i/>
      <w:iCs/>
      <w:color w:val="000000" w:themeColor="text1"/>
    </w:rPr>
  </w:style>
  <w:style w:type="character" w:customStyle="1" w:styleId="QuoteChar">
    <w:name w:val="Quote Char"/>
    <w:basedOn w:val="DefaultParagraphFont"/>
    <w:link w:val="Quote"/>
    <w:uiPriority w:val="29"/>
    <w:rsid w:val="00FC693F"/>
    <w:rPr>
      <w:rFonts w:ascii="Calibri" w:hAnsi="Calibri"/>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Calibri" w:hAnsi="Calibr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Calibri" w:hAnsi="Calibr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Calibri" w:hAnsi="Calibr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Calibri" w:hAnsi="Calibr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Calibri" w:hAnsi="Calibr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Calibri" w:hAnsi="Calibr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bCs/>
      <w:color w:val="4F81BD" w:themeColor="accent1"/>
      <w:sz w:val="18"/>
      <w:szCs w:val="18"/>
    </w:rPr>
  </w:style>
  <w:style w:type="character" w:styleId="Strong">
    <w:name w:val="Strong"/>
    <w:basedOn w:val="DefaultParagraphFont"/>
    <w:uiPriority w:val="22"/>
    <w:qFormat/>
    <w:rsid w:val="00FC693F"/>
    <w:rPr>
      <w:rFonts w:ascii="Calibri" w:hAnsi="Calibri"/>
      <w:b/>
      <w:bCs/>
    </w:rPr>
  </w:style>
  <w:style w:type="character" w:styleId="Emphasis">
    <w:name w:val="Emphasis"/>
    <w:basedOn w:val="DefaultParagraphFont"/>
    <w:uiPriority w:val="20"/>
    <w:qFormat/>
    <w:rsid w:val="00FC693F"/>
    <w:rPr>
      <w:rFonts w:ascii="Calibri" w:hAnsi="Calibri"/>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Calibri" w:hAnsi="Calibri"/>
      <w:b/>
      <w:bCs/>
      <w:i/>
      <w:iCs/>
      <w:color w:val="4F81BD" w:themeColor="accent1"/>
    </w:rPr>
  </w:style>
  <w:style w:type="character" w:customStyle="1" w:styleId="IntenseQuoteChar">
    <w:name w:val="Intense Quote Char"/>
    <w:basedOn w:val="DefaultParagraphFont"/>
    <w:link w:val="IntenseQuote"/>
    <w:uiPriority w:val="30"/>
    <w:rsid w:val="00FC693F"/>
    <w:rPr>
      <w:rFonts w:ascii="Calibri" w:hAnsi="Calibri"/>
      <w:b/>
      <w:bCs/>
      <w:i/>
      <w:iCs/>
      <w:color w:val="4F81BD" w:themeColor="accent1"/>
    </w:rPr>
  </w:style>
  <w:style w:type="character" w:styleId="SubtleEmphasis">
    <w:name w:val="Subtle Emphasis"/>
    <w:basedOn w:val="DefaultParagraphFont"/>
    <w:uiPriority w:val="19"/>
    <w:qFormat/>
    <w:rsid w:val="00FC693F"/>
    <w:rPr>
      <w:rFonts w:ascii="Calibri" w:hAnsi="Calibri"/>
      <w:i/>
      <w:iCs/>
      <w:color w:val="808080" w:themeColor="text1" w:themeTint="7F"/>
    </w:rPr>
  </w:style>
  <w:style w:type="character" w:styleId="IntenseEmphasis">
    <w:name w:val="Intense Emphasis"/>
    <w:basedOn w:val="DefaultParagraphFont"/>
    <w:uiPriority w:val="21"/>
    <w:qFormat/>
    <w:rsid w:val="00FC693F"/>
    <w:rPr>
      <w:rFonts w:ascii="Calibri" w:hAnsi="Calibri"/>
      <w:b/>
      <w:bCs/>
      <w:i/>
      <w:iCs/>
      <w:color w:val="4F81BD" w:themeColor="accent1"/>
    </w:rPr>
  </w:style>
  <w:style w:type="character" w:styleId="SubtleReference">
    <w:name w:val="Subtle Reference"/>
    <w:basedOn w:val="DefaultParagraphFont"/>
    <w:uiPriority w:val="31"/>
    <w:qFormat/>
    <w:rsid w:val="00FC693F"/>
    <w:rPr>
      <w:rFonts w:ascii="Calibri" w:hAnsi="Calibri"/>
      <w:smallCaps/>
      <w:color w:val="C0504D" w:themeColor="accent2"/>
      <w:u w:val="single"/>
    </w:rPr>
  </w:style>
  <w:style w:type="character" w:styleId="IntenseReference">
    <w:name w:val="Intense Reference"/>
    <w:basedOn w:val="DefaultParagraphFont"/>
    <w:uiPriority w:val="32"/>
    <w:qFormat/>
    <w:rsid w:val="00FC693F"/>
    <w:rPr>
      <w:rFonts w:ascii="Calibri" w:hAnsi="Calibri"/>
      <w:b/>
      <w:bCs/>
      <w:smallCaps/>
      <w:color w:val="C0504D" w:themeColor="accent2"/>
      <w:spacing w:val="5"/>
      <w:u w:val="single"/>
    </w:rPr>
  </w:style>
  <w:style w:type="character" w:styleId="BookTitle">
    <w:name w:val="Book Title"/>
    <w:basedOn w:val="DefaultParagraphFont"/>
    <w:uiPriority w:val="33"/>
    <w:qFormat/>
    <w:rsid w:val="00FC693F"/>
    <w:rPr>
      <w:rFonts w:ascii="Calibri" w:hAnsi="Calibri"/>
      <w:b/>
      <w:bCs/>
      <w:smallCaps/>
      <w:spacing w:val="5"/>
    </w:rPr>
  </w:style>
  <w:style w:type="paragraph" w:styleId="TOCHeading">
    <w:name w:val="TOC Heading"/>
    <w:basedOn w:val="Heading1"/>
    <w:next w:val="Normal"/>
    <w:uiPriority w:val="39"/>
    <w:semiHidden/>
    <w:unhideWhenUsed/>
    <w:qFormat/>
    <w:rsid w:val="00FC693F"/>
    <w:pPr>
      <w:outlineLvl w:val="9"/>
    </w:pPr>
    <w:rPr>
      <w:rFonts w:ascii="Calibri" w:hAnsi="Calibri"/>
    </w:rPr>
  </w:style>
  <w:style w:type="table" w:styleId="TableGrid">
    <w:name w:val="Table Grid"/>
    <w:basedOn w:val="TableNormal"/>
    <w:uiPriority w:val="59"/>
    <w:rsid w:val="00FC693F"/>
    <w:pPr>
      <w:spacing w:after="0" w:line="240" w:lineRule="auto"/>
    </w:pPr>
    <w:rPr>
      <w:rFonts w:ascii="Calibri" w:hAnsi="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Calibri" w:hAnsi="Calibri"/>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Calibri" w:hAnsi="Calibri"/>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Calibri" w:hAnsi="Calibri"/>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Calibri" w:hAnsi="Calibri"/>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Calibri" w:hAnsi="Calibri"/>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Calibri" w:hAnsi="Calibri"/>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Calibri" w:hAnsi="Calibri"/>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Calibri" w:hAnsi="Calibri"/>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Calibri" w:hAnsi="Calibri"/>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Calibri" w:hAnsi="Calibri"/>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Calibri" w:hAnsi="Calibri"/>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Calibri" w:hAnsi="Calibri"/>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Calibri" w:hAnsi="Calibri"/>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Calibri" w:hAnsi="Calibri"/>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Calibri" w:hAnsi="Calibri"/>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Calibri" w:hAnsi="Calibri"/>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Calibri" w:hAnsi="Calibri"/>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Calibri" w:hAnsi="Calibri"/>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Calibri" w:hAnsi="Calibri"/>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Calibri" w:hAnsi="Calibri"/>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Calibri" w:hAnsi="Calibri"/>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Calibri" w:hAnsi="Calibri"/>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Calibri" w:hAnsi="Calibri"/>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Calibri" w:hAnsi="Calibri"/>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Calibri" w:hAnsi="Calibri"/>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Calibri" w:hAnsi="Calibri"/>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Calibri" w:hAnsi="Calibri"/>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Calibri" w:hAnsi="Calibri"/>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Calibri" w:hAnsi="Calibri"/>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Calibri" w:hAnsi="Calibri"/>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Calibri" w:hAnsi="Calibri"/>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Calibri" w:hAnsi="Calibri"/>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Calibri" w:hAnsi="Calibri"/>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Calibri" w:hAnsi="Calibri"/>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Calibri" w:hAnsi="Calibri"/>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Calibri" w:hAnsi="Calibri"/>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Calibri" w:hAnsi="Calibri"/>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Calibri" w:hAnsi="Calibri"/>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Calibri" w:hAnsi="Calibri"/>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Calibri" w:hAnsi="Calibri"/>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Calibri" w:hAnsi="Calibri"/>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Calibri" w:hAnsi="Calibri"/>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Calibri" w:hAnsi="Calibr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Calibri" w:hAnsi="Calibr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Calibri" w:hAnsi="Calibr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Calibri" w:hAnsi="Calibr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Calibri" w:hAnsi="Calibr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Calibri" w:hAnsi="Calibr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Calibri" w:hAnsi="Calibr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Calibri" w:hAnsi="Calibri"/>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Calibri" w:hAnsi="Calibri"/>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Calibri" w:hAnsi="Calibri"/>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Calibri" w:hAnsi="Calibri"/>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Calibri" w:hAnsi="Calibri"/>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Calibri" w:hAnsi="Calibri"/>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Calibri" w:hAnsi="Calibri"/>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Calibri" w:hAnsi="Calibr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Calibri" w:hAnsi="Calibr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Calibri" w:hAnsi="Calibr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Calibri" w:hAnsi="Calibr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Calibri" w:hAnsi="Calibr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Calibri" w:hAnsi="Calibr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Calibri" w:hAnsi="Calibr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Calibri" w:hAnsi="Calibri"/>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Calibri" w:hAnsi="Calibri"/>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Calibri" w:hAnsi="Calibri"/>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Calibri" w:hAnsi="Calibri"/>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Calibri" w:hAnsi="Calibri"/>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Calibri" w:hAnsi="Calibri"/>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Calibri" w:hAnsi="Calibri"/>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Calibri" w:hAnsi="Calibri"/>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Calibri" w:hAnsi="Calibri"/>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Calibri" w:hAnsi="Calibri"/>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Calibri" w:hAnsi="Calibri"/>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Calibri" w:hAnsi="Calibri"/>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Calibri" w:hAnsi="Calibri"/>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Calibri" w:hAnsi="Calibri"/>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Calibri" w:hAnsi="Calibri"/>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Calibri" w:hAnsi="Calibri"/>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Calibri" w:hAnsi="Calibri"/>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Calibri" w:hAnsi="Calibri"/>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Calibri" w:hAnsi="Calibri"/>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Calibri" w:hAnsi="Calibri"/>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Calibri" w:hAnsi="Calibri"/>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Calibri" w:hAnsi="Calibri"/>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Calibri" w:hAnsi="Calibri"/>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Calibri" w:hAnsi="Calibri"/>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Calibri" w:hAnsi="Calibri"/>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Calibri" w:hAnsi="Calibri"/>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Calibri" w:hAnsi="Calibri"/>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Calibri" w:hAnsi="Calibri"/>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Calibri" w:hAnsi="Calibri"/>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Calibri" w:hAnsi="Calibri"/>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Calibri" w:hAnsi="Calibri"/>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Calibri" w:hAnsi="Calibri"/>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Calibri" w:hAnsi="Calibri"/>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Calibri" w:hAnsi="Calibri"/>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Calibri" w:hAnsi="Calibri"/>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