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Benefits Tracker Template</w:t>
      </w:r>
    </w:p>
    <w:p/>
    <w:p>
      <w:r>
        <w:rPr>
          <w:rFonts w:ascii="Calibri" w:hAnsi="Calibri"/>
          <w:b w:val="0"/>
          <w:i/>
          <w:color w:val="1E408A"/>
          <w:sz w:val="24"/>
        </w:rPr>
        <w:t>Measuring Speed, Productivity &amp; Quality ROI Across All Three Options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Doc-31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Benefits Tracking Framework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Benefits realisation must be tracked from the moment baseline is captured, not from go-live. This template provides the measurement structure for all three AI transformation options, aligned to the three benefit dimensions: Speed, Productivity, and Quality.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Benefits tracking is a governance requirement. Monthly benefits reports must be presented to the Executive Steering Committee as part of the transformation governance cycle.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Baseline Capture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 System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 Value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 Date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Avg days from idea to production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JIRA/ADO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days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Director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% of lead time that is active work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Platform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Scrum Master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Deployments per team per week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CI/CD system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/week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VP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Escape Rate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% defects found post-release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ITSM / monitoring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 Lead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Feature Cycle Time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Avg days from commit to production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GitHub/GitLab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days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VP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Productivity Index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Story points / sprint / team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JIRA/ADO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 pts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__/__/__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Scrum Master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Target Setting by Option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 Target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 Target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 Target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−25%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−55%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−75%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+20%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+75%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+25%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+50%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+100%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Escape Rate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−15%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−35%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−60%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Feature Cycle Time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−20%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−50%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−70%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Productivity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Org baseline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+20%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+50%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+75%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Monthly Tracking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Baseline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 1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 2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 3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 6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Month 12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(days)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 (%)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 Frequency (/wk)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Escape Rate (%)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Feature Cycle Time (d)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Productivity Index (pts)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Financial Benefits Tracker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Benefit Stream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Calculation Method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Plan ($K)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Actual ($K)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Variance</w:t>
            </w:r>
          </w:p>
        </w:tc>
        <w:tc>
          <w:tcPr>
            <w:tcW w:type="dxa" w:w="187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Speed — time-to-market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Revenue per day × lead time saved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Productivity — FTE capacity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FTE cost × efficiency gain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Quality — defect cost avoided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Avg defect cost × escape rate reduction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Annual Benefit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 of above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Investment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Licence + config + change mgmt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Net Annual Benefit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Total benefit − investment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Cumulative ROI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Net benefit / investment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__x</w:t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87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6. Benefits RAG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Trend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Flow Efficiency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Defect Escape Rate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Financial ROI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 xml:space="preserve">  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1E408A"/>
          <w:sz w:val="21"/>
        </w:rPr>
        <w:t>RAG Key: Green = on/ahead of plan | Amber = within 10% of plan | Red = &gt;10% behind plan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7. US Bank Benchmark Reference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US Bank (Team Phoenix) — Option B implementation: Lead Time 42→8 days (−81%), Flow Efficiency 17.8%→61% (+243%), $3M investment, $8.4M/year benefit, 4.2× ROI, 14-month payback, $31.2M 5-year NPV.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Tracked on the 3-perspective Outcome Dashboard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Benefits are tracked continuously across three perspectives, computed from live data with per-chart inferences. Real-time data sources: Jira / ADO, GitHub, CI/CD, ServiceNow/PagerDuty, AI-platform billing &amp; agent-framework telemetry — zero manual entry; metrics computed via documented formulas with per-chart inference &amp; action points.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 Adoption — How deeply agents/tools are adopted across the PDLC. Metrics: Agent Utilisation Rate, AI Acceptance Rate, Human Override Rate, Time Saved / Agent / Sprint, Agent ROI Multiple.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PDLC Performance (Outcomes) — Delivery outcomes — flow, speed, stability &amp; productivity. Metrics: Lead Time, Cycle Time, Flow Efficiency, Deployment Frequency, Change Failure Rate, MTTR, Cost per Story Point, Productivity (SP/person-day).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 Ops &amp; Assurance — Token economics, agent quality, bias, explainability &amp; governance. Metrics: Token Usage &amp; Cost / Sprint, AI Cost / Story Point, Agent Success Rate, Hallucination Rate, RAG Groundedness, Bias / Fairness, Explainability, Guardrail Compliance.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ROI is read on the J-Curve (cost-only)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Investment first, a J-Curve dip, then net savings that grow sprint-on-sprint and cross breakeven. ROI % = (Value − Investment) ÷ Investment   —   Value = cost-avoidance (freed capacity), NOT new-feature revenue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Investment: Hard costs up front: licences + agent/token usage + enablement/training + AI infrastructure.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J-Curve dip (tuition cost): Early sprints carry a productivity dip — the learning curve + verification tax (reviewing AI output) — so net savings start negative.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Breakeven: As adoption ramps and the dip fades, net savings turn positive and cumulative benefit crosses zero.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Compounding savings: Net savings grow sprint-on-sprint; freed capacity is reinvested (cost avoided), not headcount cut.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Ongoing cost is platform-aware and includes agent/token spend. Business growth from new features is intentionally excluded — value is engineering cost-efficiency and capacity reinvestment only.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Productivity economics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Effort = SP delivered × SP-rate (days/SP)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Cost = Effort × blended daily rate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Cost per SP = SP-rate × blended daily rate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Productivity = SP delivered ÷ capacity (SP/person-day)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Saving (one figure, three units): effort-saved (pd) = cost-saved ($) = SP freed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