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p14">
  <w:body>
    <w:p ns2:paraId="6A875C73" ns2:textId="77777777" w:rsidR="00A80B80" w:rsidRPr="00A80B80" w:rsidRDefault="00A80B80" w:rsidP="00A80B80">
      <w:pPr>
        <w:spacing w:before="320" w:after="80" w:line="240" w:lineRule="auto"/>
        <w:outlineLvl w:val="2"/>
        <w:rPr>
          <w:rFonts w:ascii="Times New Roman" w:eastAsia="Times New Roman" w:hAnsi="Times New Roman" w:cs="Times New Roman"/>
          <w:b/>
          <w:bCs/>
          <w:sz w:val="27"/>
          <w:szCs w:val="27"/>
        </w:rPr>
      </w:pPr>
      <w:r w:rsidRPr="00A80B80">
        <w:rPr>
          <w:rFonts w:ascii="Arial" w:eastAsia="Times New Roman" w:hAnsi="Arial" w:cs="Arial"/>
          <w:color w:val="434343"/>
          <w:sz w:val="28"/>
          <w:szCs w:val="28"/>
        </w:rPr>
        <w:t>MeMoMe software structure (high-level)</w:t>
      </w:r>
    </w:p>
    <w:p ns2:paraId="65F296D2" ns2:textId="77777777" w:rsidR="00A80B80" w:rsidRPr="00A80B80" w:rsidRDefault="00A80B80" w:rsidP="00A80B80">
      <w:pPr>
        <w:spacing w:before="240" w:after="240" w:line="240" w:lineRule="auto"/>
        <w:rPr>
          <w:rFonts w:ascii="Times New Roman" w:eastAsia="Times New Roman" w:hAnsi="Times New Roman" w:cs="Times New Roman"/>
          <w:sz w:val="24"/>
          <w:szCs w:val="24"/>
        </w:rPr>
      </w:pPr>
      <w:r w:rsidRPr="00A80B80">
        <w:rPr>
          <w:rFonts w:ascii="Times New Roman" w:eastAsia="Times New Roman" w:hAnsi="Times New Roman" w:cs="Times New Roman"/>
          <w:color w:val="000000"/>
          <w:sz w:val="24"/>
          <w:szCs w:val="24"/>
        </w:rPr>
        <w:t>MeMoMe is a software package whose main functionalities are distributed among the following modules: information retrieval, annotation and matching, and model merging.</w:t>
      </w:r>
    </w:p>
    <w:p ns2:paraId="2690D779" ns2:textId="77777777" w:rsidR="00A80B80" w:rsidRPr="00A80B80" w:rsidRDefault="00A80B80" w:rsidP="00A80B80">
      <w:pPr>
        <w:spacing w:before="240" w:after="240" w:line="240" w:lineRule="auto"/>
        <w:rPr>
          <w:rFonts w:ascii="Times New Roman" w:eastAsia="Times New Roman" w:hAnsi="Times New Roman" w:cs="Times New Roman"/>
          <w:sz w:val="24"/>
          <w:szCs w:val="24"/>
        </w:rPr>
      </w:pPr>
      <w:r w:rsidRPr="00A80B80">
        <w:rPr>
          <w:rFonts w:ascii="Times New Roman" w:eastAsia="Times New Roman" w:hAnsi="Times New Roman" w:cs="Times New Roman"/>
          <w:color w:val="000000"/>
          <w:sz w:val="24"/>
          <w:szCs w:val="24"/>
        </w:rPr>
        <w:t xml:space="preserve">MeMoMe main dependencies include </w:t>
      </w:r>
      <w:proofErr w:type="spellStart"/>
      <w:r w:rsidRPr="00A80B80">
        <w:rPr>
          <w:rFonts w:ascii="Times New Roman" w:eastAsia="Times New Roman" w:hAnsi="Times New Roman" w:cs="Times New Roman"/>
          <w:color w:val="000000"/>
          <w:sz w:val="24"/>
          <w:szCs w:val="24"/>
        </w:rPr>
        <w:t>cobrapy</w:t>
      </w:r>
      <w:proofErr w:type="spellEnd"/>
      <w:r w:rsidRPr="00A80B80">
        <w:rPr>
          <w:rFonts w:ascii="Times New Roman" w:eastAsia="Times New Roman" w:hAnsi="Times New Roman" w:cs="Times New Roman"/>
          <w:color w:val="000000"/>
          <w:sz w:val="24"/>
          <w:szCs w:val="24"/>
        </w:rPr>
        <w:t xml:space="preserve">, </w:t>
      </w:r>
      <w:proofErr w:type="spellStart"/>
      <w:r w:rsidRPr="00A80B80">
        <w:rPr>
          <w:rFonts w:ascii="Times New Roman" w:eastAsia="Times New Roman" w:hAnsi="Times New Roman" w:cs="Times New Roman"/>
          <w:color w:val="000000"/>
          <w:sz w:val="24"/>
          <w:szCs w:val="24"/>
        </w:rPr>
        <w:t>RDKit</w:t>
      </w:r>
      <w:proofErr w:type="spellEnd"/>
      <w:r w:rsidRPr="00A80B80">
        <w:rPr>
          <w:rFonts w:ascii="Times New Roman" w:eastAsia="Times New Roman" w:hAnsi="Times New Roman" w:cs="Times New Roman"/>
          <w:color w:val="000000"/>
          <w:sz w:val="24"/>
          <w:szCs w:val="24"/>
        </w:rPr>
        <w:t>, and supporting Python libraries for SBML parsing and data handling, as well as utilities for string similarity</w:t>
      </w:r>
    </w:p>
    <w:p ns2:paraId="1DA706FD" ns2:textId="77777777" w:rsidR="00A80B80" w:rsidRPr="00A80B80" w:rsidRDefault="00A80B80" w:rsidP="00A80B80">
      <w:pPr>
        <w:spacing w:before="240" w:after="240" w:line="240" w:lineRule="auto"/>
        <w:rPr>
          <w:rFonts w:ascii="Times New Roman" w:eastAsia="Times New Roman" w:hAnsi="Times New Roman" w:cs="Times New Roman"/>
          <w:sz w:val="24"/>
          <w:szCs w:val="24"/>
        </w:rPr>
      </w:pPr>
      <w:r w:rsidRPr="00A80B80">
        <w:rPr>
          <w:rFonts w:ascii="Times New Roman" w:eastAsia="Times New Roman" w:hAnsi="Times New Roman" w:cs="Times New Roman"/>
          <w:color w:val="000000"/>
          <w:sz w:val="24"/>
          <w:szCs w:val="24"/>
        </w:rPr>
        <w:t>For the sake of covering the parts I directly worked into as part of my thesis, I will only briefly mention the key aspects of annotation and matching, while I will cover in depth the model merging procedure. For the same reason, I will limit myself to mention the existence of the information retrieval module, and its role in retrieving up-to-date information about metabolite identifiers and their related biochemical information.</w:t>
      </w:r>
    </w:p>
    <w:p ns2:paraId="2BC3DD12" ns2:textId="77777777" w:rsidR="00A80B80" w:rsidRPr="00A80B80" w:rsidRDefault="00A80B80" w:rsidP="00A80B80">
      <w:pPr>
        <w:spacing w:before="240" w:after="240" w:line="240" w:lineRule="auto"/>
        <w:rPr>
          <w:rFonts w:ascii="Times New Roman" w:eastAsia="Times New Roman" w:hAnsi="Times New Roman" w:cs="Times New Roman"/>
          <w:sz w:val="24"/>
          <w:szCs w:val="24"/>
        </w:rPr>
      </w:pPr>
      <w:r w:rsidRPr="00A80B80">
        <w:rPr>
          <w:rFonts w:ascii="Times New Roman" w:eastAsia="Times New Roman" w:hAnsi="Times New Roman" w:cs="Times New Roman"/>
          <w:color w:val="000000"/>
          <w:sz w:val="24"/>
          <w:szCs w:val="24"/>
        </w:rPr>
        <w:t xml:space="preserve">As part of the annotation and matching module, the </w:t>
      </w:r>
      <w:proofErr w:type="spellStart"/>
      <w:r w:rsidRPr="00A80B80">
        <w:rPr>
          <w:rFonts w:ascii="Times New Roman" w:eastAsia="Times New Roman" w:hAnsi="Times New Roman" w:cs="Times New Roman"/>
          <w:color w:val="000000"/>
          <w:sz w:val="24"/>
          <w:szCs w:val="24"/>
        </w:rPr>
        <w:t>MeMoModel</w:t>
      </w:r>
      <w:proofErr w:type="spellEnd"/>
      <w:r w:rsidRPr="00A80B80">
        <w:rPr>
          <w:rFonts w:ascii="Times New Roman" w:eastAsia="Times New Roman" w:hAnsi="Times New Roman" w:cs="Times New Roman"/>
          <w:color w:val="000000"/>
          <w:sz w:val="24"/>
          <w:szCs w:val="24"/>
        </w:rPr>
        <w:t xml:space="preserve"> and </w:t>
      </w:r>
      <w:proofErr w:type="spellStart"/>
      <w:r w:rsidRPr="00A80B80">
        <w:rPr>
          <w:rFonts w:ascii="Times New Roman" w:eastAsia="Times New Roman" w:hAnsi="Times New Roman" w:cs="Times New Roman"/>
          <w:color w:val="000000"/>
          <w:sz w:val="24"/>
          <w:szCs w:val="24"/>
        </w:rPr>
        <w:t>MeMoMetabolite</w:t>
      </w:r>
      <w:proofErr w:type="spellEnd"/>
      <w:r w:rsidRPr="00A80B80">
        <w:rPr>
          <w:rFonts w:ascii="Times New Roman" w:eastAsia="Times New Roman" w:hAnsi="Times New Roman" w:cs="Times New Roman"/>
          <w:color w:val="000000"/>
          <w:sz w:val="24"/>
          <w:szCs w:val="24"/>
        </w:rPr>
        <w:t xml:space="preserve"> are used to encapsulate a metabolic model as a metabolite-centric data structure that stores standardized identifiers and chemical metadata (e.g., names, formulas, charges, database cross-references and, when available, InChI strings), enabling bulk annotation and the computation of cross-model metabolite correspondences prior to merging. Specifically, </w:t>
      </w:r>
      <w:proofErr w:type="spellStart"/>
      <w:r w:rsidRPr="00A80B80">
        <w:rPr>
          <w:rFonts w:ascii="Times New Roman" w:eastAsia="Times New Roman" w:hAnsi="Times New Roman" w:cs="Times New Roman"/>
          <w:color w:val="000000"/>
          <w:sz w:val="24"/>
          <w:szCs w:val="24"/>
        </w:rPr>
        <w:t>MeMoModel</w:t>
      </w:r>
      <w:proofErr w:type="spellEnd"/>
      <w:r w:rsidRPr="00A80B80">
        <w:rPr>
          <w:rFonts w:ascii="Times New Roman" w:eastAsia="Times New Roman" w:hAnsi="Times New Roman" w:cs="Times New Roman"/>
          <w:color w:val="000000"/>
          <w:sz w:val="24"/>
          <w:szCs w:val="24"/>
        </w:rPr>
        <w:t xml:space="preserve"> contains the original COBRA model and a list of objects of the </w:t>
      </w:r>
      <w:proofErr w:type="spellStart"/>
      <w:r w:rsidRPr="00A80B80">
        <w:rPr>
          <w:rFonts w:ascii="Times New Roman" w:eastAsia="Times New Roman" w:hAnsi="Times New Roman" w:cs="Times New Roman"/>
          <w:color w:val="000000"/>
          <w:sz w:val="24"/>
          <w:szCs w:val="24"/>
        </w:rPr>
        <w:t>MeMoMetabolite</w:t>
      </w:r>
      <w:proofErr w:type="spellEnd"/>
      <w:r w:rsidRPr="00A80B80">
        <w:rPr>
          <w:rFonts w:ascii="Times New Roman" w:eastAsia="Times New Roman" w:hAnsi="Times New Roman" w:cs="Times New Roman"/>
          <w:color w:val="000000"/>
          <w:sz w:val="24"/>
          <w:szCs w:val="24"/>
        </w:rPr>
        <w:t xml:space="preserve"> class, in which chemical metadata is stored. </w:t>
      </w:r>
    </w:p>
    <w:p ns2:paraId="1404C81E" ns2:textId="77777777" w:rsidR="00A80B80" w:rsidRPr="00A80B80" w:rsidRDefault="00A80B80" w:rsidP="00A80B80">
      <w:pPr>
        <w:spacing w:before="240" w:after="240" w:line="240" w:lineRule="auto"/>
        <w:rPr>
          <w:rFonts w:ascii="Times New Roman" w:eastAsia="Times New Roman" w:hAnsi="Times New Roman" w:cs="Times New Roman"/>
          <w:sz w:val="24"/>
          <w:szCs w:val="24"/>
        </w:rPr>
      </w:pPr>
      <w:r w:rsidRPr="00A80B80">
        <w:rPr>
          <w:rFonts w:ascii="Times New Roman" w:eastAsia="Times New Roman" w:hAnsi="Times New Roman" w:cs="Times New Roman"/>
          <w:color w:val="000000"/>
          <w:sz w:val="24"/>
          <w:szCs w:val="24"/>
        </w:rPr>
        <w:t xml:space="preserve">The </w:t>
      </w:r>
      <w:proofErr w:type="spellStart"/>
      <w:r w:rsidRPr="00A80B80">
        <w:rPr>
          <w:rFonts w:ascii="Times New Roman" w:eastAsia="Times New Roman" w:hAnsi="Times New Roman" w:cs="Times New Roman"/>
          <w:color w:val="000000"/>
          <w:sz w:val="24"/>
          <w:szCs w:val="24"/>
        </w:rPr>
        <w:t>ModelMerger</w:t>
      </w:r>
      <w:proofErr w:type="spellEnd"/>
      <w:r w:rsidRPr="00A80B80">
        <w:rPr>
          <w:rFonts w:ascii="Times New Roman" w:eastAsia="Times New Roman" w:hAnsi="Times New Roman" w:cs="Times New Roman"/>
          <w:color w:val="000000"/>
          <w:sz w:val="24"/>
          <w:szCs w:val="24"/>
        </w:rPr>
        <w:t xml:space="preserve"> implements the actual merging logic, from the preprocessing of the input cobra models to the construction of a combined metamodel in which model-specific identifiers are prefixed to avoid collisions, and cross-model metabolite equivalences are realized through a dedicated translation compartment.</w:t>
      </w:r>
    </w:p>
    <w:p ns2:paraId="167DF2CE" ns2:textId="77777777" w:rsidR="00A80B80" w:rsidRPr="00A80B80" w:rsidRDefault="00A80B80" w:rsidP="00A80B80">
      <w:pPr>
        <w:spacing w:before="240" w:after="240" w:line="240" w:lineRule="auto"/>
        <w:rPr>
          <w:rFonts w:ascii="Times New Roman" w:eastAsia="Times New Roman" w:hAnsi="Times New Roman" w:cs="Times New Roman"/>
          <w:sz w:val="24"/>
          <w:szCs w:val="24"/>
        </w:rPr>
      </w:pPr>
      <w:r w:rsidRPr="00A80B80">
        <w:rPr>
          <w:rFonts w:ascii="Times New Roman" w:eastAsia="Times New Roman" w:hAnsi="Times New Roman" w:cs="Times New Roman"/>
          <w:color w:val="000000"/>
          <w:sz w:val="24"/>
          <w:szCs w:val="24"/>
        </w:rPr>
        <w:t xml:space="preserve">In a typical setting, two metabolic reconstructions are taken as input as SBML files, loaded as COBRA models and wrapped into </w:t>
      </w:r>
      <w:proofErr w:type="spellStart"/>
      <w:r w:rsidRPr="00A80B80">
        <w:rPr>
          <w:rFonts w:ascii="Times New Roman" w:eastAsia="Times New Roman" w:hAnsi="Times New Roman" w:cs="Times New Roman"/>
          <w:color w:val="000000"/>
          <w:sz w:val="24"/>
          <w:szCs w:val="24"/>
        </w:rPr>
        <w:t>MeMoModel</w:t>
      </w:r>
      <w:proofErr w:type="spellEnd"/>
      <w:r w:rsidRPr="00A80B80">
        <w:rPr>
          <w:rFonts w:ascii="Times New Roman" w:eastAsia="Times New Roman" w:hAnsi="Times New Roman" w:cs="Times New Roman"/>
          <w:color w:val="000000"/>
          <w:sz w:val="24"/>
          <w:szCs w:val="24"/>
        </w:rPr>
        <w:t xml:space="preserve"> objects (Supplementary Files). Metabolites are then bulk-annotated, and cross-model metabolite correspondences are computed by </w:t>
      </w:r>
      <w:proofErr w:type="spellStart"/>
      <w:r w:rsidRPr="00A80B80">
        <w:rPr>
          <w:rFonts w:ascii="Times New Roman" w:eastAsia="Times New Roman" w:hAnsi="Times New Roman" w:cs="Times New Roman"/>
          <w:color w:val="000000"/>
          <w:sz w:val="24"/>
          <w:szCs w:val="24"/>
        </w:rPr>
        <w:t>MeMoModel.match</w:t>
      </w:r>
      <w:proofErr w:type="spellEnd"/>
      <w:r w:rsidRPr="00A80B80">
        <w:rPr>
          <w:rFonts w:ascii="Times New Roman" w:eastAsia="Times New Roman" w:hAnsi="Times New Roman" w:cs="Times New Roman"/>
          <w:color w:val="000000"/>
          <w:sz w:val="24"/>
          <w:szCs w:val="24"/>
        </w:rPr>
        <w:t xml:space="preserve">(...) using complementary evidence sources (InChI-based matching, database cross-references, and name similarity). Finally, the </w:t>
      </w:r>
      <w:proofErr w:type="spellStart"/>
      <w:r w:rsidRPr="00A80B80">
        <w:rPr>
          <w:rFonts w:ascii="Times New Roman" w:eastAsia="Times New Roman" w:hAnsi="Times New Roman" w:cs="Times New Roman"/>
          <w:color w:val="000000"/>
          <w:sz w:val="24"/>
          <w:szCs w:val="24"/>
        </w:rPr>
        <w:t>ModelMerger</w:t>
      </w:r>
      <w:proofErr w:type="spellEnd"/>
      <w:r w:rsidRPr="00A80B80">
        <w:rPr>
          <w:rFonts w:ascii="Times New Roman" w:eastAsia="Times New Roman" w:hAnsi="Times New Roman" w:cs="Times New Roman"/>
          <w:color w:val="000000"/>
          <w:sz w:val="24"/>
          <w:szCs w:val="24"/>
        </w:rPr>
        <w:t xml:space="preserve"> class (ModelMerger.py) combines two COBRA models together with the resulting match table to build a combined metamodel, handling ID disambiguation by prefixing, and cross-model connectivity through a dedicated translation compartment.</w:t>
      </w:r>
    </w:p>
    <w:p ns2:paraId="78D87C62" ns2:textId="77777777" w:rsidR="00A80B80" w:rsidRPr="00A80B80" w:rsidRDefault="00A80B80" w:rsidP="00A80B80">
      <w:pPr>
        <w:spacing w:before="320" w:after="80" w:line="240" w:lineRule="auto"/>
        <w:outlineLvl w:val="2"/>
        <w:rPr>
          <w:rFonts w:ascii="Times New Roman" w:eastAsia="Times New Roman" w:hAnsi="Times New Roman" w:cs="Times New Roman"/>
          <w:b/>
          <w:bCs/>
          <w:sz w:val="27"/>
          <w:szCs w:val="27"/>
        </w:rPr>
      </w:pPr>
      <w:r w:rsidRPr="00A80B80">
        <w:rPr>
          <w:rFonts w:ascii="Arial" w:eastAsia="Times New Roman" w:hAnsi="Arial" w:cs="Arial"/>
          <w:color w:val="434343"/>
          <w:sz w:val="28"/>
          <w:szCs w:val="28"/>
        </w:rPr>
        <w:t>Models &amp; preprocessing for MeMoMe merging</w:t>
      </w:r>
    </w:p>
    <w:p ns2:paraId="2428BA9B" ns2:textId="77777777" w:rsidR="00A80B80" w:rsidRPr="00A80B80" w:rsidRDefault="00A80B80" w:rsidP="00A80B80">
      <w:pPr>
        <w:spacing w:before="240" w:after="240" w:line="240" w:lineRule="auto"/>
        <w:rPr>
          <w:rFonts w:ascii="Times New Roman" w:eastAsia="Times New Roman" w:hAnsi="Times New Roman" w:cs="Times New Roman"/>
          <w:sz w:val="24"/>
          <w:szCs w:val="24"/>
        </w:rPr>
      </w:pPr>
      <w:r w:rsidRPr="00A80B80">
        <w:rPr>
          <w:rFonts w:ascii="Times New Roman" w:eastAsia="Times New Roman" w:hAnsi="Times New Roman" w:cs="Times New Roman"/>
          <w:color w:val="000000"/>
          <w:sz w:val="24"/>
          <w:szCs w:val="24"/>
        </w:rPr>
        <w:t xml:space="preserve">The same host and bacterial models that have been merged in Chapter 2 were used as input for the automatic MeMoMe merging (Supplementary files). Metabolite correspondences between the two namespaces were computed by wrapping each input model as a </w:t>
      </w:r>
      <w:proofErr w:type="spellStart"/>
      <w:r w:rsidRPr="00A80B80">
        <w:rPr>
          <w:rFonts w:ascii="Times New Roman" w:eastAsia="Times New Roman" w:hAnsi="Times New Roman" w:cs="Times New Roman"/>
          <w:color w:val="000000"/>
          <w:sz w:val="24"/>
          <w:szCs w:val="24"/>
        </w:rPr>
        <w:t>MeMoModel</w:t>
      </w:r>
      <w:proofErr w:type="spellEnd"/>
      <w:r w:rsidRPr="00A80B80">
        <w:rPr>
          <w:rFonts w:ascii="Times New Roman" w:eastAsia="Times New Roman" w:hAnsi="Times New Roman" w:cs="Times New Roman"/>
          <w:color w:val="000000"/>
          <w:sz w:val="24"/>
          <w:szCs w:val="24"/>
        </w:rPr>
        <w:t xml:space="preserve">, annotating metabolites with </w:t>
      </w:r>
      <w:proofErr w:type="spellStart"/>
      <w:r w:rsidRPr="00A80B80">
        <w:rPr>
          <w:rFonts w:ascii="Times New Roman" w:eastAsia="Times New Roman" w:hAnsi="Times New Roman" w:cs="Times New Roman"/>
          <w:color w:val="000000"/>
          <w:sz w:val="24"/>
          <w:szCs w:val="24"/>
        </w:rPr>
        <w:t>MeMoMe’s</w:t>
      </w:r>
      <w:proofErr w:type="spellEnd"/>
      <w:r w:rsidRPr="00A80B80">
        <w:rPr>
          <w:rFonts w:ascii="Times New Roman" w:eastAsia="Times New Roman" w:hAnsi="Times New Roman" w:cs="Times New Roman"/>
          <w:color w:val="000000"/>
          <w:sz w:val="24"/>
          <w:szCs w:val="24"/>
        </w:rPr>
        <w:t xml:space="preserve"> bulk annotators, and running </w:t>
      </w:r>
      <w:proofErr w:type="spellStart"/>
      <w:r w:rsidRPr="00A80B80">
        <w:rPr>
          <w:rFonts w:ascii="Times New Roman" w:eastAsia="Times New Roman" w:hAnsi="Times New Roman" w:cs="Times New Roman"/>
          <w:color w:val="000000"/>
          <w:sz w:val="24"/>
          <w:szCs w:val="24"/>
        </w:rPr>
        <w:t>MeMoMe’s</w:t>
      </w:r>
      <w:proofErr w:type="spellEnd"/>
      <w:r w:rsidRPr="00A80B80">
        <w:rPr>
          <w:rFonts w:ascii="Times New Roman" w:eastAsia="Times New Roman" w:hAnsi="Times New Roman" w:cs="Times New Roman"/>
          <w:color w:val="000000"/>
          <w:sz w:val="24"/>
          <w:szCs w:val="24"/>
        </w:rPr>
        <w:t xml:space="preserve"> metabolite matching function to generate a scored metabolite match table. This table was then provided to </w:t>
      </w:r>
      <w:proofErr w:type="spellStart"/>
      <w:r w:rsidRPr="00A80B80">
        <w:rPr>
          <w:rFonts w:ascii="Times New Roman" w:eastAsia="Times New Roman" w:hAnsi="Times New Roman" w:cs="Times New Roman"/>
          <w:color w:val="000000"/>
          <w:sz w:val="24"/>
          <w:szCs w:val="24"/>
        </w:rPr>
        <w:t>ModelMerger</w:t>
      </w:r>
      <w:proofErr w:type="spellEnd"/>
      <w:r w:rsidRPr="00A80B80">
        <w:rPr>
          <w:rFonts w:ascii="Times New Roman" w:eastAsia="Times New Roman" w:hAnsi="Times New Roman" w:cs="Times New Roman"/>
          <w:color w:val="000000"/>
          <w:sz w:val="24"/>
          <w:szCs w:val="24"/>
        </w:rPr>
        <w:t xml:space="preserve"> to construct the automatically merged metamodel. The resulting MeMoMe</w:t>
      </w:r>
      <w:r w:rsidRPr="00A80B80">
        <w:rPr>
          <w:rFonts w:ascii="Times New Roman" w:eastAsia="Times New Roman" w:hAnsi="Times New Roman" w:cs="Times New Roman"/>
          <w:color w:val="000000"/>
          <w:sz w:val="24"/>
          <w:szCs w:val="24"/>
        </w:rPr>
        <w:noBreakHyphen/>
        <w:t>merged SBML was used for all validation analyses.</w:t>
      </w:r>
    </w:p>
    <w:p ns2:paraId="498BA1A7" ns2:textId="77777777" w:rsidR="00A80B80" w:rsidRPr="00A80B80" w:rsidRDefault="00A80B80" w:rsidP="00A80B80">
      <w:pPr>
        <w:spacing w:before="320" w:after="80" w:line="240" w:lineRule="auto"/>
        <w:outlineLvl w:val="2"/>
        <w:rPr>
          <w:rFonts w:ascii="Times New Roman" w:eastAsia="Times New Roman" w:hAnsi="Times New Roman" w:cs="Times New Roman"/>
          <w:b/>
          <w:bCs/>
          <w:sz w:val="27"/>
          <w:szCs w:val="27"/>
        </w:rPr>
      </w:pPr>
      <w:r w:rsidRPr="00A80B80">
        <w:rPr>
          <w:rFonts w:ascii="Arial" w:eastAsia="Times New Roman" w:hAnsi="Arial" w:cs="Arial"/>
          <w:color w:val="434343"/>
          <w:sz w:val="28"/>
          <w:szCs w:val="28"/>
        </w:rPr>
        <w:lastRenderedPageBreak/>
        <w:t>Metabolite matching</w:t>
      </w:r>
    </w:p>
    <w:p ns2:paraId="0CC5593D" ns2:textId="77777777" w:rsidR="00A80B80" w:rsidRPr="00A80B80" w:rsidRDefault="00A80B80" w:rsidP="00A80B80">
      <w:pPr>
        <w:spacing w:before="240" w:after="240" w:line="240" w:lineRule="auto"/>
        <w:rPr>
          <w:rFonts w:ascii="Times New Roman" w:eastAsia="Times New Roman" w:hAnsi="Times New Roman" w:cs="Times New Roman"/>
          <w:sz w:val="24"/>
          <w:szCs w:val="24"/>
        </w:rPr>
      </w:pPr>
      <w:r w:rsidRPr="00A80B80">
        <w:rPr>
          <w:rFonts w:ascii="Times New Roman" w:eastAsia="Times New Roman" w:hAnsi="Times New Roman" w:cs="Times New Roman"/>
          <w:color w:val="000000"/>
          <w:sz w:val="24"/>
          <w:szCs w:val="24"/>
        </w:rPr>
        <w:t xml:space="preserve">Metabolite matching was implemented in the </w:t>
      </w:r>
      <w:proofErr w:type="spellStart"/>
      <w:r w:rsidRPr="00A80B80">
        <w:rPr>
          <w:rFonts w:ascii="Times New Roman" w:eastAsia="Times New Roman" w:hAnsi="Times New Roman" w:cs="Times New Roman"/>
          <w:color w:val="000000"/>
          <w:sz w:val="24"/>
          <w:szCs w:val="24"/>
        </w:rPr>
        <w:t>MeMoModel.match</w:t>
      </w:r>
      <w:proofErr w:type="spellEnd"/>
      <w:r w:rsidRPr="00A80B80">
        <w:rPr>
          <w:rFonts w:ascii="Times New Roman" w:eastAsia="Times New Roman" w:hAnsi="Times New Roman" w:cs="Times New Roman"/>
          <w:color w:val="000000"/>
          <w:sz w:val="24"/>
          <w:szCs w:val="24"/>
        </w:rPr>
        <w:t xml:space="preserve"> function (taking as argument the other </w:t>
      </w:r>
      <w:proofErr w:type="spellStart"/>
      <w:r w:rsidRPr="00A80B80">
        <w:rPr>
          <w:rFonts w:ascii="Times New Roman" w:eastAsia="Times New Roman" w:hAnsi="Times New Roman" w:cs="Times New Roman"/>
          <w:color w:val="000000"/>
          <w:sz w:val="24"/>
          <w:szCs w:val="24"/>
        </w:rPr>
        <w:t>MeMoModel</w:t>
      </w:r>
      <w:proofErr w:type="spellEnd"/>
      <w:r w:rsidRPr="00A80B80">
        <w:rPr>
          <w:rFonts w:ascii="Times New Roman" w:eastAsia="Times New Roman" w:hAnsi="Times New Roman" w:cs="Times New Roman"/>
          <w:color w:val="000000"/>
          <w:sz w:val="24"/>
          <w:szCs w:val="24"/>
        </w:rPr>
        <w:t xml:space="preserve"> to be matched to the current one), which works by running three independent pairwise match routines between all metabolite pairs from the two </w:t>
      </w:r>
      <w:proofErr w:type="spellStart"/>
      <w:r w:rsidRPr="00A80B80">
        <w:rPr>
          <w:rFonts w:ascii="Times New Roman" w:eastAsia="Times New Roman" w:hAnsi="Times New Roman" w:cs="Times New Roman"/>
          <w:color w:val="000000"/>
          <w:sz w:val="24"/>
          <w:szCs w:val="24"/>
        </w:rPr>
        <w:t>MeMoModel</w:t>
      </w:r>
      <w:proofErr w:type="spellEnd"/>
      <w:r w:rsidRPr="00A80B80">
        <w:rPr>
          <w:rFonts w:ascii="Times New Roman" w:eastAsia="Times New Roman" w:hAnsi="Times New Roman" w:cs="Times New Roman"/>
          <w:color w:val="000000"/>
          <w:sz w:val="24"/>
          <w:szCs w:val="24"/>
        </w:rPr>
        <w:t xml:space="preserve"> instances. The three routines are: InChI matching, which compares a canonical representation of the </w:t>
      </w:r>
      <w:proofErr w:type="spellStart"/>
      <w:r w:rsidRPr="00A80B80">
        <w:rPr>
          <w:rFonts w:ascii="Times New Roman" w:eastAsia="Times New Roman" w:hAnsi="Times New Roman" w:cs="Times New Roman"/>
          <w:color w:val="000000"/>
          <w:sz w:val="24"/>
          <w:szCs w:val="24"/>
        </w:rPr>
        <w:t>InChi</w:t>
      </w:r>
      <w:proofErr w:type="spellEnd"/>
      <w:r w:rsidRPr="00A80B80">
        <w:rPr>
          <w:rFonts w:ascii="Times New Roman" w:eastAsia="Times New Roman" w:hAnsi="Times New Roman" w:cs="Times New Roman"/>
          <w:color w:val="000000"/>
          <w:sz w:val="24"/>
          <w:szCs w:val="24"/>
        </w:rPr>
        <w:t xml:space="preserve"> string; Database cross-reference matching, that checks whether two metabolites point to the same entries in external databases; and name-based matching where all available names and aliases of each metabolites are compared by string similarity. The three result tables are outer-joined on metabolite IDs (met_id1, met_id2), and an aggregate </w:t>
      </w:r>
      <w:proofErr w:type="spellStart"/>
      <w:r w:rsidRPr="00A80B80">
        <w:rPr>
          <w:rFonts w:ascii="Times New Roman" w:eastAsia="Times New Roman" w:hAnsi="Times New Roman" w:cs="Times New Roman"/>
          <w:color w:val="000000"/>
          <w:sz w:val="24"/>
          <w:szCs w:val="24"/>
        </w:rPr>
        <w:t>total_score</w:t>
      </w:r>
      <w:proofErr w:type="spellEnd"/>
      <w:r w:rsidRPr="00A80B80">
        <w:rPr>
          <w:rFonts w:ascii="Times New Roman" w:eastAsia="Times New Roman" w:hAnsi="Times New Roman" w:cs="Times New Roman"/>
          <w:color w:val="000000"/>
          <w:sz w:val="24"/>
          <w:szCs w:val="24"/>
        </w:rPr>
        <w:t xml:space="preserve"> is computed as the mean of </w:t>
      </w:r>
      <w:proofErr w:type="spellStart"/>
      <w:r w:rsidRPr="00A80B80">
        <w:rPr>
          <w:rFonts w:ascii="Times New Roman" w:eastAsia="Times New Roman" w:hAnsi="Times New Roman" w:cs="Times New Roman"/>
          <w:color w:val="000000"/>
          <w:sz w:val="24"/>
          <w:szCs w:val="24"/>
        </w:rPr>
        <w:t>inchi_score</w:t>
      </w:r>
      <w:proofErr w:type="spellEnd"/>
      <w:r w:rsidRPr="00A80B80">
        <w:rPr>
          <w:rFonts w:ascii="Times New Roman" w:eastAsia="Times New Roman" w:hAnsi="Times New Roman" w:cs="Times New Roman"/>
          <w:color w:val="000000"/>
          <w:sz w:val="24"/>
          <w:szCs w:val="24"/>
        </w:rPr>
        <w:t xml:space="preserve">, </w:t>
      </w:r>
      <w:proofErr w:type="spellStart"/>
      <w:r w:rsidRPr="00A80B80">
        <w:rPr>
          <w:rFonts w:ascii="Times New Roman" w:eastAsia="Times New Roman" w:hAnsi="Times New Roman" w:cs="Times New Roman"/>
          <w:color w:val="000000"/>
          <w:sz w:val="24"/>
          <w:szCs w:val="24"/>
        </w:rPr>
        <w:t>DB_score</w:t>
      </w:r>
      <w:proofErr w:type="spellEnd"/>
      <w:r w:rsidRPr="00A80B80">
        <w:rPr>
          <w:rFonts w:ascii="Times New Roman" w:eastAsia="Times New Roman" w:hAnsi="Times New Roman" w:cs="Times New Roman"/>
          <w:color w:val="000000"/>
          <w:sz w:val="24"/>
          <w:szCs w:val="24"/>
        </w:rPr>
        <w:t xml:space="preserve">, and </w:t>
      </w:r>
      <w:proofErr w:type="spellStart"/>
      <w:r w:rsidRPr="00A80B80">
        <w:rPr>
          <w:rFonts w:ascii="Times New Roman" w:eastAsia="Times New Roman" w:hAnsi="Times New Roman" w:cs="Times New Roman"/>
          <w:color w:val="000000"/>
          <w:sz w:val="24"/>
          <w:szCs w:val="24"/>
        </w:rPr>
        <w:t>Name_score</w:t>
      </w:r>
      <w:proofErr w:type="spellEnd"/>
      <w:r w:rsidRPr="00A80B80">
        <w:rPr>
          <w:rFonts w:ascii="Times New Roman" w:eastAsia="Times New Roman" w:hAnsi="Times New Roman" w:cs="Times New Roman"/>
          <w:color w:val="000000"/>
          <w:sz w:val="24"/>
          <w:szCs w:val="24"/>
        </w:rPr>
        <w:t>; matches are then filtered by user-defined thresholds.</w:t>
      </w:r>
    </w:p>
    <w:p ns2:paraId="09FD3D46" ns2:textId="77777777" w:rsidR="00A80B80" w:rsidRPr="00A80B80" w:rsidRDefault="00A80B80" w:rsidP="00A80B80">
      <w:pPr>
        <w:spacing w:before="320" w:after="80" w:line="240" w:lineRule="auto"/>
        <w:outlineLvl w:val="2"/>
        <w:rPr>
          <w:rFonts w:ascii="Times New Roman" w:eastAsia="Times New Roman" w:hAnsi="Times New Roman" w:cs="Times New Roman"/>
          <w:b/>
          <w:bCs/>
          <w:sz w:val="27"/>
          <w:szCs w:val="27"/>
        </w:rPr>
      </w:pPr>
      <w:r w:rsidRPr="00A80B80">
        <w:rPr>
          <w:rFonts w:ascii="Arial" w:eastAsia="Times New Roman" w:hAnsi="Arial" w:cs="Arial"/>
          <w:color w:val="434343"/>
          <w:sz w:val="28"/>
          <w:szCs w:val="28"/>
        </w:rPr>
        <w:t>MeMoMe model merging algorithm</w:t>
      </w:r>
    </w:p>
    <w:p ns2:paraId="53245E2D" ns2:textId="77777777" w:rsidR="00A80B80" w:rsidRPr="00A80B80" w:rsidRDefault="00A80B80" w:rsidP="00A80B80">
      <w:pPr>
        <w:spacing w:before="240" w:after="240" w:line="240" w:lineRule="auto"/>
        <w:rPr>
          <w:rFonts w:ascii="Times New Roman" w:eastAsia="Times New Roman" w:hAnsi="Times New Roman" w:cs="Times New Roman"/>
          <w:sz w:val="24"/>
          <w:szCs w:val="24"/>
        </w:rPr>
      </w:pPr>
      <w:r w:rsidRPr="00A80B80">
        <w:rPr>
          <w:rFonts w:ascii="Times New Roman" w:eastAsia="Times New Roman" w:hAnsi="Times New Roman" w:cs="Times New Roman"/>
          <w:color w:val="000000"/>
          <w:sz w:val="24"/>
          <w:szCs w:val="24"/>
        </w:rPr>
        <w:t xml:space="preserve">The automatic model merging was implemented in the </w:t>
      </w:r>
      <w:proofErr w:type="spellStart"/>
      <w:r w:rsidRPr="00A80B80">
        <w:rPr>
          <w:rFonts w:ascii="Times New Roman" w:eastAsia="Times New Roman" w:hAnsi="Times New Roman" w:cs="Times New Roman"/>
          <w:color w:val="000000"/>
          <w:sz w:val="24"/>
          <w:szCs w:val="24"/>
        </w:rPr>
        <w:t>ModelMerger</w:t>
      </w:r>
      <w:proofErr w:type="spellEnd"/>
      <w:r w:rsidRPr="00A80B80">
        <w:rPr>
          <w:rFonts w:ascii="Times New Roman" w:eastAsia="Times New Roman" w:hAnsi="Times New Roman" w:cs="Times New Roman"/>
          <w:color w:val="000000"/>
          <w:sz w:val="24"/>
          <w:szCs w:val="24"/>
        </w:rPr>
        <w:t xml:space="preserve"> class, which takes as input two constraint-based metabolic models and a metabolite-level matching table and produces a single merged “metamodel” that preserves the reaction content of both inputs while enabling controlled metabolite exchange between the two namespaces. By convention, the first and the second input models are treated respectively as “target” and “source”: whenever a translation exists in the matching table, all the accessory reactions and metabolites created by </w:t>
      </w:r>
      <w:proofErr w:type="spellStart"/>
      <w:r w:rsidRPr="00A80B80">
        <w:rPr>
          <w:rFonts w:ascii="Times New Roman" w:eastAsia="Times New Roman" w:hAnsi="Times New Roman" w:cs="Times New Roman"/>
          <w:color w:val="000000"/>
          <w:sz w:val="24"/>
          <w:szCs w:val="24"/>
        </w:rPr>
        <w:t>ModelMerger</w:t>
      </w:r>
      <w:proofErr w:type="spellEnd"/>
      <w:r w:rsidRPr="00A80B80">
        <w:rPr>
          <w:rFonts w:ascii="Times New Roman" w:eastAsia="Times New Roman" w:hAnsi="Times New Roman" w:cs="Times New Roman"/>
          <w:color w:val="000000"/>
          <w:sz w:val="24"/>
          <w:szCs w:val="24"/>
        </w:rPr>
        <w:t xml:space="preserve"> to connect the two models are named according to the namespace of the target model. </w:t>
      </w:r>
    </w:p>
    <w:p ns2:paraId="353DC395" ns2:textId="77777777" w:rsidR="00A80B80" w:rsidRPr="00A80B80" w:rsidRDefault="00A80B80" w:rsidP="00A80B80">
      <w:pPr>
        <w:spacing w:before="240" w:after="240" w:line="240" w:lineRule="auto"/>
        <w:rPr>
          <w:rFonts w:ascii="Times New Roman" w:eastAsia="Times New Roman" w:hAnsi="Times New Roman" w:cs="Times New Roman"/>
          <w:sz w:val="24"/>
          <w:szCs w:val="24"/>
        </w:rPr>
      </w:pPr>
      <w:r w:rsidRPr="00A80B80">
        <w:rPr>
          <w:rFonts w:ascii="Times New Roman" w:eastAsia="Times New Roman" w:hAnsi="Times New Roman" w:cs="Times New Roman"/>
          <w:color w:val="000000"/>
          <w:sz w:val="24"/>
          <w:szCs w:val="24"/>
        </w:rPr>
        <w:t xml:space="preserve">Before merging, during the initialization of the </w:t>
      </w:r>
      <w:proofErr w:type="spellStart"/>
      <w:r w:rsidRPr="00A80B80">
        <w:rPr>
          <w:rFonts w:ascii="Times New Roman" w:eastAsia="Times New Roman" w:hAnsi="Times New Roman" w:cs="Times New Roman"/>
          <w:color w:val="000000"/>
          <w:sz w:val="24"/>
          <w:szCs w:val="24"/>
        </w:rPr>
        <w:t>ModelMerger</w:t>
      </w:r>
      <w:proofErr w:type="spellEnd"/>
      <w:r w:rsidRPr="00A80B80">
        <w:rPr>
          <w:rFonts w:ascii="Times New Roman" w:eastAsia="Times New Roman" w:hAnsi="Times New Roman" w:cs="Times New Roman"/>
          <w:color w:val="000000"/>
          <w:sz w:val="24"/>
          <w:szCs w:val="24"/>
        </w:rPr>
        <w:t xml:space="preserve"> class, both input models are preprocessed to reduce within-model redundancy. Specifically, duplicate metabolites are identified and merged within each model using an annotation-driven self-matching procedure. This step aims to minimize spurious inflation of the merged network caused by synonymous identifiers within a single input model, thereby making subsequent cross</w:t>
      </w:r>
      <w:r w:rsidRPr="00A80B80">
        <w:rPr>
          <w:rFonts w:ascii="Times New Roman" w:eastAsia="Times New Roman" w:hAnsi="Times New Roman" w:cs="Times New Roman"/>
          <w:color w:val="000000"/>
          <w:sz w:val="24"/>
          <w:szCs w:val="24"/>
        </w:rPr>
        <w:noBreakHyphen/>
        <w:t>model mapping more interpretable and reducing parallel, chemically redundant pathways. Duplicate candidates were identified by performing a self</w:t>
      </w:r>
      <w:r w:rsidRPr="00A80B80">
        <w:rPr>
          <w:rFonts w:ascii="Times New Roman" w:eastAsia="Times New Roman" w:hAnsi="Times New Roman" w:cs="Times New Roman"/>
          <w:color w:val="000000"/>
          <w:sz w:val="24"/>
          <w:szCs w:val="24"/>
        </w:rPr>
        <w:noBreakHyphen/>
        <w:t>match of the model, and only mutual top</w:t>
      </w:r>
      <w:r w:rsidRPr="00A80B80">
        <w:rPr>
          <w:rFonts w:ascii="Times New Roman" w:eastAsia="Times New Roman" w:hAnsi="Times New Roman" w:cs="Times New Roman"/>
          <w:color w:val="000000"/>
          <w:sz w:val="24"/>
          <w:szCs w:val="24"/>
        </w:rPr>
        <w:noBreakHyphen/>
        <w:t xml:space="preserve">scoring metabolite pairs (i.e., pairs that achieved the maximum </w:t>
      </w:r>
      <w:proofErr w:type="spellStart"/>
      <w:r w:rsidRPr="00A80B80">
        <w:rPr>
          <w:rFonts w:ascii="Times New Roman" w:eastAsia="Times New Roman" w:hAnsi="Times New Roman" w:cs="Times New Roman"/>
          <w:color w:val="000000"/>
          <w:sz w:val="24"/>
          <w:szCs w:val="24"/>
        </w:rPr>
        <w:t>total_score</w:t>
      </w:r>
      <w:proofErr w:type="spellEnd"/>
      <w:r w:rsidRPr="00A80B80">
        <w:rPr>
          <w:rFonts w:ascii="Times New Roman" w:eastAsia="Times New Roman" w:hAnsi="Times New Roman" w:cs="Times New Roman"/>
          <w:color w:val="000000"/>
          <w:sz w:val="24"/>
          <w:szCs w:val="24"/>
        </w:rPr>
        <w:t xml:space="preserve"> for both metabolites) are classified as duplicates. By default, pairs with non</w:t>
      </w:r>
      <w:r w:rsidRPr="00A80B80">
        <w:rPr>
          <w:rFonts w:ascii="Times New Roman" w:eastAsia="Times New Roman" w:hAnsi="Times New Roman" w:cs="Times New Roman"/>
          <w:color w:val="000000"/>
          <w:sz w:val="24"/>
          <w:szCs w:val="24"/>
        </w:rPr>
        <w:noBreakHyphen/>
        <w:t>zero charge differences are excluded in order to retain protonation-state information.</w:t>
      </w:r>
    </w:p>
    <w:p ns2:paraId="1D84FFCD" ns2:textId="77777777" w:rsidR="00A80B80" w:rsidRPr="00A80B80" w:rsidRDefault="00A80B80" w:rsidP="00A80B80">
      <w:pPr>
        <w:spacing w:before="240" w:after="240" w:line="240" w:lineRule="auto"/>
        <w:rPr>
          <w:rFonts w:ascii="Times New Roman" w:eastAsia="Times New Roman" w:hAnsi="Times New Roman" w:cs="Times New Roman"/>
          <w:sz w:val="24"/>
          <w:szCs w:val="24"/>
        </w:rPr>
      </w:pPr>
      <w:r w:rsidRPr="00A80B80">
        <w:rPr>
          <w:rFonts w:ascii="Times New Roman" w:eastAsia="Times New Roman" w:hAnsi="Times New Roman" w:cs="Times New Roman"/>
          <w:color w:val="000000"/>
          <w:sz w:val="24"/>
          <w:szCs w:val="24"/>
        </w:rPr>
        <w:t>To avoid identifier collisions in the later steps, both models are namespace-prefixed at the identifier level (by default “model1_” for the target model and “model2_” for the source model). For reactions carrying “special” prefixes commonly used to denote boundary or pseudo-reactions (e.g., “EX_”, “DM_”, “SK_”, “sink_”), the model prefix is inserted after the special prefix (e.g., “EX_model1_…”) rather than placed at the beginning of the identifier. This convention diverges from the model that was manually merged in chapter 2, and it preserves reaction-type semantics (exchange/demand/sink) while still ensuring global uniqueness.</w:t>
      </w:r>
    </w:p>
    <w:p ns2:paraId="125618B1" ns2:textId="77777777" w:rsidR="00A80B80" w:rsidRPr="00A80B80" w:rsidRDefault="00A80B80" w:rsidP="00A80B80">
      <w:pPr>
        <w:spacing w:before="240" w:after="240" w:line="240" w:lineRule="auto"/>
        <w:rPr>
          <w:rFonts w:ascii="Times New Roman" w:eastAsia="Times New Roman" w:hAnsi="Times New Roman" w:cs="Times New Roman"/>
          <w:sz w:val="24"/>
          <w:szCs w:val="24"/>
        </w:rPr>
      </w:pPr>
      <w:r w:rsidRPr="00A80B80">
        <w:rPr>
          <w:rFonts w:ascii="Times New Roman" w:eastAsia="Times New Roman" w:hAnsi="Times New Roman" w:cs="Times New Roman"/>
          <w:color w:val="000000"/>
          <w:sz w:val="24"/>
          <w:szCs w:val="24"/>
        </w:rPr>
        <w:t>The merging is performed in such a way that all metabolites and reactions from the input models remain unmodified (except for the model-identifying prefix mentioned before).</w:t>
      </w:r>
    </w:p>
    <w:p ns2:paraId="0BFE0124" ns2:textId="77777777" w:rsidR="00A80B80" w:rsidRPr="00A80B80" w:rsidRDefault="00A80B80" w:rsidP="00A80B80">
      <w:pPr>
        <w:spacing w:before="240" w:after="240" w:line="240" w:lineRule="auto"/>
        <w:rPr>
          <w:rFonts w:ascii="Times New Roman" w:eastAsia="Times New Roman" w:hAnsi="Times New Roman" w:cs="Times New Roman"/>
          <w:sz w:val="24"/>
          <w:szCs w:val="24"/>
        </w:rPr>
      </w:pPr>
      <w:r w:rsidRPr="00A80B80">
        <w:rPr>
          <w:rFonts w:ascii="Times New Roman" w:eastAsia="Times New Roman" w:hAnsi="Times New Roman" w:cs="Times New Roman"/>
          <w:color w:val="000000"/>
          <w:sz w:val="24"/>
          <w:szCs w:val="24"/>
        </w:rPr>
        <w:t xml:space="preserve">The merged model is initialized as the union of the two prefixed, preprocessed inputs, adding all metabolites and reactions from both into a single COBRA model. Because of </w:t>
      </w:r>
      <w:proofErr w:type="spellStart"/>
      <w:r w:rsidRPr="00A80B80">
        <w:rPr>
          <w:rFonts w:ascii="Times New Roman" w:eastAsia="Times New Roman" w:hAnsi="Times New Roman" w:cs="Times New Roman"/>
          <w:color w:val="000000"/>
          <w:sz w:val="24"/>
          <w:szCs w:val="24"/>
        </w:rPr>
        <w:t>cobrapy’s</w:t>
      </w:r>
      <w:proofErr w:type="spellEnd"/>
      <w:r w:rsidRPr="00A80B80">
        <w:rPr>
          <w:rFonts w:ascii="Times New Roman" w:eastAsia="Times New Roman" w:hAnsi="Times New Roman" w:cs="Times New Roman"/>
          <w:color w:val="000000"/>
          <w:sz w:val="24"/>
          <w:szCs w:val="24"/>
        </w:rPr>
        <w:t xml:space="preserve"> design, </w:t>
      </w:r>
      <w:r w:rsidRPr="00A80B80">
        <w:rPr>
          <w:rFonts w:ascii="Times New Roman" w:eastAsia="Times New Roman" w:hAnsi="Times New Roman" w:cs="Times New Roman"/>
          <w:color w:val="000000"/>
          <w:sz w:val="24"/>
          <w:szCs w:val="24"/>
        </w:rPr>
        <w:lastRenderedPageBreak/>
        <w:t>genes and GPR rules are carried together with reactions. After that, for each target-namespace metabolite in the matching table, a translation-compartment metabolite identified by its canonical ID followed by the suffix “_t” is created. The canonical ID is defined as the metabolite ID, stripped of its model and compartment-identifying prefix and suffix. This metabolite represents a shared extracellular pool while leaving each model’s original namespace unchanged. Where available, name, formula, and charge are propagated from the source metabolite to improve interpretability and maintain consistent basic annotations.</w:t>
      </w:r>
    </w:p>
    <w:p ns2:paraId="2A7E7674" ns2:textId="77777777" w:rsidR="00A80B80" w:rsidRPr="00A80B80" w:rsidRDefault="00A80B80" w:rsidP="00A80B80">
      <w:pPr>
        <w:spacing w:before="240" w:after="240" w:line="240" w:lineRule="auto"/>
        <w:rPr>
          <w:rFonts w:ascii="Times New Roman" w:eastAsia="Times New Roman" w:hAnsi="Times New Roman" w:cs="Times New Roman"/>
          <w:sz w:val="24"/>
          <w:szCs w:val="24"/>
        </w:rPr>
      </w:pPr>
      <w:r w:rsidRPr="00A80B80">
        <w:rPr>
          <w:rFonts w:ascii="Times New Roman" w:eastAsia="Times New Roman" w:hAnsi="Times New Roman" w:cs="Times New Roman"/>
          <w:color w:val="000000"/>
          <w:sz w:val="24"/>
          <w:szCs w:val="24"/>
        </w:rPr>
        <w:t xml:space="preserve">To establish exchange mapping, the union model is scanned for prefixed exchange reactions (EX_model1_* and EX_model2_*). For each metabolite pair in the matching table, their related exchange reactions are converted into translation reactions by renaming EX_ → TR_ and retaining model provenance (e.g., TR_model1_* and TR_model2_*). These TR_ reactions are reconfigured to connect the model-specific boundary metabolite (e.g., model1_met[e] and model2_met[e]) to the translation metabolite (e.g., </w:t>
      </w:r>
      <w:proofErr w:type="spellStart"/>
      <w:r w:rsidRPr="00A80B80">
        <w:rPr>
          <w:rFonts w:ascii="Times New Roman" w:eastAsia="Times New Roman" w:hAnsi="Times New Roman" w:cs="Times New Roman"/>
          <w:color w:val="000000"/>
          <w:sz w:val="24"/>
          <w:szCs w:val="24"/>
        </w:rPr>
        <w:t>met_t</w:t>
      </w:r>
      <w:proofErr w:type="spellEnd"/>
      <w:r w:rsidRPr="00A80B80">
        <w:rPr>
          <w:rFonts w:ascii="Times New Roman" w:eastAsia="Times New Roman" w:hAnsi="Times New Roman" w:cs="Times New Roman"/>
          <w:color w:val="000000"/>
          <w:sz w:val="24"/>
          <w:szCs w:val="24"/>
        </w:rPr>
        <w:t>) by adding the translation metabolite with a positive stoichiometric coefficient. Their bounds are widened to [-1000, 1000] so they act as non-limiting internal connectors, ensuring that environmental limitation is applied at the shared layer rather than at model-specific exchanges. Original reaction bounds are stored so that they can later be set as dietary exchanges.</w:t>
      </w:r>
    </w:p>
    <w:p ns2:paraId="509318B5" ns2:textId="77777777" w:rsidR="00A80B80" w:rsidRPr="00A80B80" w:rsidRDefault="00A80B80" w:rsidP="00A80B80">
      <w:pPr>
        <w:spacing w:before="240" w:after="240" w:line="240" w:lineRule="auto"/>
        <w:rPr>
          <w:rFonts w:ascii="Times New Roman" w:eastAsia="Times New Roman" w:hAnsi="Times New Roman" w:cs="Times New Roman"/>
          <w:sz w:val="24"/>
          <w:szCs w:val="24"/>
        </w:rPr>
      </w:pPr>
      <w:r w:rsidRPr="00A80B80">
        <w:rPr>
          <w:rFonts w:ascii="Times New Roman" w:eastAsia="Times New Roman" w:hAnsi="Times New Roman" w:cs="Times New Roman"/>
          <w:color w:val="000000"/>
          <w:sz w:val="24"/>
          <w:szCs w:val="24"/>
        </w:rPr>
        <w:t>In parallel, a translation-compartment exchange reaction is defined for each translation metabolite (e.g. EX_{</w:t>
      </w:r>
      <w:proofErr w:type="spellStart"/>
      <w:r w:rsidRPr="00A80B80">
        <w:rPr>
          <w:rFonts w:ascii="Times New Roman" w:eastAsia="Times New Roman" w:hAnsi="Times New Roman" w:cs="Times New Roman"/>
          <w:color w:val="000000"/>
          <w:sz w:val="24"/>
          <w:szCs w:val="24"/>
        </w:rPr>
        <w:t>canonical_met_id</w:t>
      </w:r>
      <w:proofErr w:type="spellEnd"/>
      <w:r w:rsidRPr="00A80B80">
        <w:rPr>
          <w:rFonts w:ascii="Times New Roman" w:eastAsia="Times New Roman" w:hAnsi="Times New Roman" w:cs="Times New Roman"/>
          <w:color w:val="000000"/>
          <w:sz w:val="24"/>
          <w:szCs w:val="24"/>
        </w:rPr>
        <w:t>}_t) with standard COBRA exchange stoichiometry consuming the translation metabolite (coefficient -1). Uptake constraints are applied to these translation exchanges. For matched metabolites, the translation exchange lower bound is constructed from the two original lower bounds, as their sum, with the upper bound set to 1000. This effectively superposes both input environment specifications at the shared pool.</w:t>
      </w:r>
    </w:p>
    <w:p ns2:paraId="3627A60E" ns2:textId="77777777" w:rsidR="00A80B80" w:rsidRPr="00A80B80" w:rsidRDefault="00A80B80" w:rsidP="00A80B80">
      <w:pPr>
        <w:spacing w:before="240" w:after="240" w:line="240" w:lineRule="auto"/>
        <w:rPr>
          <w:rFonts w:ascii="Times New Roman" w:eastAsia="Times New Roman" w:hAnsi="Times New Roman" w:cs="Times New Roman"/>
          <w:sz w:val="24"/>
          <w:szCs w:val="24"/>
        </w:rPr>
      </w:pPr>
      <w:r w:rsidRPr="00A80B80">
        <w:rPr>
          <w:rFonts w:ascii="Times New Roman" w:eastAsia="Times New Roman" w:hAnsi="Times New Roman" w:cs="Times New Roman"/>
          <w:color w:val="000000"/>
          <w:sz w:val="24"/>
          <w:szCs w:val="24"/>
        </w:rPr>
        <w:t xml:space="preserve">After processing matched pairs, all remaining model-prefixed exchanges (EX_model1_* or EX_model2_*) that could not be redirected to the translation compartment are handled in a similar way to matched exchanges: each is converted to a TR_ connector (EX_ → TR_), widened to [-1000, 1000], and connected to its corresponding translation metabolite. In this case, the associated translation exchange </w:t>
      </w:r>
      <w:proofErr w:type="spellStart"/>
      <w:r w:rsidRPr="00A80B80">
        <w:rPr>
          <w:rFonts w:ascii="Times New Roman" w:eastAsia="Times New Roman" w:hAnsi="Times New Roman" w:cs="Times New Roman"/>
          <w:color w:val="000000"/>
          <w:sz w:val="24"/>
          <w:szCs w:val="24"/>
        </w:rPr>
        <w:t>EX_met_t</w:t>
      </w:r>
      <w:proofErr w:type="spellEnd"/>
      <w:r w:rsidRPr="00A80B80">
        <w:rPr>
          <w:rFonts w:ascii="Times New Roman" w:eastAsia="Times New Roman" w:hAnsi="Times New Roman" w:cs="Times New Roman"/>
          <w:color w:val="000000"/>
          <w:sz w:val="24"/>
          <w:szCs w:val="24"/>
        </w:rPr>
        <w:t xml:space="preserve"> inherits the original bounds of the unmatched model’s exchange reaction, ensuring availability (or restriction) consistent with the source model.</w:t>
      </w:r>
    </w:p>
    <w:p ns2:paraId="2A1A39CF" ns2:textId="77777777" w:rsidR="00A80B80" w:rsidRPr="00A80B80" w:rsidRDefault="00A80B80" w:rsidP="00A80B80">
      <w:pPr>
        <w:spacing w:before="240" w:after="240" w:line="240" w:lineRule="auto"/>
        <w:rPr>
          <w:rFonts w:ascii="Times New Roman" w:eastAsia="Times New Roman" w:hAnsi="Times New Roman" w:cs="Times New Roman"/>
          <w:sz w:val="24"/>
          <w:szCs w:val="24"/>
        </w:rPr>
      </w:pPr>
      <w:r w:rsidRPr="00A80B80">
        <w:rPr>
          <w:rFonts w:ascii="Times New Roman" w:eastAsia="Times New Roman" w:hAnsi="Times New Roman" w:cs="Times New Roman"/>
          <w:color w:val="000000"/>
          <w:sz w:val="24"/>
          <w:szCs w:val="24"/>
        </w:rPr>
        <w:t>In this way, all exchange identifiers in the merged model follow a consistent rule: translation-compartment exchanges are always named EX_{</w:t>
      </w:r>
      <w:proofErr w:type="spellStart"/>
      <w:r w:rsidRPr="00A80B80">
        <w:rPr>
          <w:rFonts w:ascii="Times New Roman" w:eastAsia="Times New Roman" w:hAnsi="Times New Roman" w:cs="Times New Roman"/>
          <w:color w:val="000000"/>
          <w:sz w:val="24"/>
          <w:szCs w:val="24"/>
        </w:rPr>
        <w:t>canonical_id</w:t>
      </w:r>
      <w:proofErr w:type="spellEnd"/>
      <w:r w:rsidRPr="00A80B80">
        <w:rPr>
          <w:rFonts w:ascii="Times New Roman" w:eastAsia="Times New Roman" w:hAnsi="Times New Roman" w:cs="Times New Roman"/>
          <w:color w:val="000000"/>
          <w:sz w:val="24"/>
          <w:szCs w:val="24"/>
        </w:rPr>
        <w:t xml:space="preserve">}_t and are defined only on translation metabolites (e.g., </w:t>
      </w:r>
      <w:proofErr w:type="spellStart"/>
      <w:r w:rsidRPr="00A80B80">
        <w:rPr>
          <w:rFonts w:ascii="Times New Roman" w:eastAsia="Times New Roman" w:hAnsi="Times New Roman" w:cs="Times New Roman"/>
          <w:color w:val="000000"/>
          <w:sz w:val="24"/>
          <w:szCs w:val="24"/>
        </w:rPr>
        <w:t>EX_glc_D_t</w:t>
      </w:r>
      <w:proofErr w:type="spellEnd"/>
      <w:r w:rsidRPr="00A80B80">
        <w:rPr>
          <w:rFonts w:ascii="Times New Roman" w:eastAsia="Times New Roman" w:hAnsi="Times New Roman" w:cs="Times New Roman"/>
          <w:color w:val="000000"/>
          <w:sz w:val="24"/>
          <w:szCs w:val="24"/>
        </w:rPr>
        <w:t xml:space="preserve"> consumes </w:t>
      </w:r>
      <w:proofErr w:type="spellStart"/>
      <w:r w:rsidRPr="00A80B80">
        <w:rPr>
          <w:rFonts w:ascii="Times New Roman" w:eastAsia="Times New Roman" w:hAnsi="Times New Roman" w:cs="Times New Roman"/>
          <w:color w:val="000000"/>
          <w:sz w:val="24"/>
          <w:szCs w:val="24"/>
        </w:rPr>
        <w:t>glc_D_t</w:t>
      </w:r>
      <w:proofErr w:type="spellEnd"/>
      <w:r w:rsidRPr="00A80B80">
        <w:rPr>
          <w:rFonts w:ascii="Times New Roman" w:eastAsia="Times New Roman" w:hAnsi="Times New Roman" w:cs="Times New Roman"/>
          <w:color w:val="000000"/>
          <w:sz w:val="24"/>
          <w:szCs w:val="24"/>
        </w:rPr>
        <w:t>).</w:t>
      </w:r>
    </w:p>
    <w:p ns2:paraId="380E89D6" ns2:textId="259E076E" w:rsidR="005C415B" w:rsidRPr="005B7848" w:rsidRDefault="00A80B80" w:rsidP="005B7848">
      <w:pPr>
        <w:spacing w:before="240" w:after="240" w:line="240" w:lineRule="auto"/>
        <w:rPr>
          <w:rFonts w:ascii="Times New Roman" w:eastAsia="Times New Roman" w:hAnsi="Times New Roman" w:cs="Times New Roman"/>
          <w:sz w:val="24"/>
          <w:szCs w:val="24"/>
        </w:rPr>
      </w:pPr>
      <w:r w:rsidRPr="00A80B80">
        <w:rPr>
          <w:rFonts w:ascii="Times New Roman" w:eastAsia="Times New Roman" w:hAnsi="Times New Roman" w:cs="Times New Roman"/>
          <w:color w:val="000000"/>
          <w:sz w:val="24"/>
          <w:szCs w:val="24"/>
        </w:rPr>
        <w:t xml:space="preserve">Finally, reaction metadata from the original models are preserved when present. Reaction names, bounds, reversibility, and gene–reaction rules are retained for reactions carried over verbatim, while translation and translation-compartment exchange reactions are created with standardized identifiers. Overall, </w:t>
      </w:r>
      <w:proofErr w:type="spellStart"/>
      <w:r w:rsidRPr="00A80B80">
        <w:rPr>
          <w:rFonts w:ascii="Times New Roman" w:eastAsia="Times New Roman" w:hAnsi="Times New Roman" w:cs="Times New Roman"/>
          <w:color w:val="000000"/>
          <w:sz w:val="24"/>
          <w:szCs w:val="24"/>
        </w:rPr>
        <w:t>ModelMerger</w:t>
      </w:r>
      <w:proofErr w:type="spellEnd"/>
      <w:r w:rsidRPr="00A80B80">
        <w:rPr>
          <w:rFonts w:ascii="Times New Roman" w:eastAsia="Times New Roman" w:hAnsi="Times New Roman" w:cs="Times New Roman"/>
          <w:color w:val="000000"/>
          <w:sz w:val="24"/>
          <w:szCs w:val="24"/>
        </w:rPr>
        <w:t xml:space="preserve"> produces a metamodel that contains the union of host and microbial capabilities, couples their external environments through an explicit namespace-translation compartment, and exposes a small, interpretable boundary interface (</w:t>
      </w:r>
      <w:proofErr w:type="spellStart"/>
      <w:r w:rsidRPr="00A80B80">
        <w:rPr>
          <w:rFonts w:ascii="Times New Roman" w:eastAsia="Times New Roman" w:hAnsi="Times New Roman" w:cs="Times New Roman"/>
          <w:color w:val="000000"/>
          <w:sz w:val="24"/>
          <w:szCs w:val="24"/>
        </w:rPr>
        <w:t>EX_t</w:t>
      </w:r>
      <w:proofErr w:type="spellEnd"/>
      <w:r w:rsidRPr="00A80B80">
        <w:rPr>
          <w:rFonts w:ascii="Times New Roman" w:eastAsia="Times New Roman" w:hAnsi="Times New Roman" w:cs="Times New Roman"/>
          <w:color w:val="000000"/>
          <w:sz w:val="24"/>
          <w:szCs w:val="24"/>
        </w:rPr>
        <w:t xml:space="preserve"> and TR), useful for applying diet constraints and performing controlled coupling/closure to simplify downstream analyses of co-metabolism of the two input models.</w:t>
      </w:r>
    </w:p>
    <w:p>
      <w:r>
        <w:t xml:space="preserve">Filtering of connector/loop reactions and ORA background</w:t>
      </w:r>
    </w:p>
    <w:p>
      <w:r>
        <w:t xml:space="preserve">Host reaction microbiome-dependency was quantified by flux variability analysis (FVA) of host reactions under open versus closed microbiome conditions. Only host reactions were included in the FVA reaction list (MeMoMe merge: reaction IDs starting with model1_, DM_model1_, or sink_model1_; manual merge: H_), which excluded exchange and translation reactions (EX_* and TR_*) by construction (tests/dat/manually_merged_models/gapseq_recon3D/output/fva_compare/01_run_fva_analysis.py).</w:t>
      </w:r>
    </w:p>
    <w:p>
      <w:r>
        <w:t xml:space="preserve">During postprocessing, reaction IDs were canonicalized to a shared namespace and remaining connector reactions captured within the host namespace (e.g., manual H_IEX_*) were removed by excluding canonical IDs starting with IEX_ or TR_ (tests/dat/manually_merged_models/gapseq_recon3D/output/fva_compare/02_postprocess_fva_analysis.py). Potentially unbounded loop/cycle reactions were detected in the baseline (open microbiome) FVA as reactions with |minimum| ≥ 999 and |maximum| ≥ 999, unioned across models, and removed from both baseline and closed FVA tables; excluded IDs were recorded (tests/dat/manually_merged_models/gapseq_recon3D/output/fva_compare/excluded_loop_reactions.txt).</w:t>
      </w:r>
    </w:p>
    <w:p>
      <w:r>
        <w:t xml:space="preserve">Plots were generated from the resulting filtered, canonicalized intersection table (tests/dat/manually_merged_models/gapseq_recon3D/output/fva_compare/auto_manual_host_fva_comparison.csv) (tests/dat/manually_merged_models/gapseq_recon3D/output/fva_compare/03_plot_comparisons.py). An additional diagnostic dependency distribution not restricted to the intersection was generated directly from the raw FVA outputs and, when available, excluded the same loop set (tests/dat/manually_merged_models/gapseq_recon3D/output/fva_compare/03b_plot_dependency_union_hist.py).</w:t>
      </w:r>
    </w:p>
    <w:p>
      <w:r>
        <w:t xml:space="preserve">For subsystem-level interpretation, over-representation analysis (ORA) was performed on high-dependency reactions, but enrichment was tested only against a background restricted to reactions with non-empty subsystem annotations, after excluding generic transport/exchange subsystems by default (Transport, extracellular; Exchange/demand reaction) (tests/dat/manually_merged_models/gapseq_recon3D/output/ora_subsystems/04_ora_subsystems.py). Consequently, the number of high-dependency reactions reported in the full dependency comparison table used for plots can be larger than the number entering ORA (n_high_total), because ORA operates on the annotated background after subsystem filtering.</w:t>
      </w:r>
    </w:p>
    <w:sectPr w:rsidR="005C415B" w:rsidRPr="005B7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B80"/>
    <w:rsid w:val="005B7848"/>
    <w:rsid w:val="00807EB2"/>
    <w:rsid w:val="00822710"/>
    <w:rsid w:val="00A80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6D78F"/>
  <w15:chartTrackingRefBased/>
  <w15:docId w15:val="{CB5BB8BA-51DD-421A-902E-1CECAF5B7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80B8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0B8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80B8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7316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1475</Words>
  <Characters>8413</Characters>
  <Application>Microsoft Office Word</Application>
  <DocSecurity>0</DocSecurity>
  <Lines>70</Lines>
  <Paragraphs>19</Paragraphs>
  <ScaleCrop>false</ScaleCrop>
  <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flor</dc:creator>
  <cp:keywords/>
  <dc:description/>
  <cp:lastModifiedBy>stefano flor</cp:lastModifiedBy>
  <cp:revision>2</cp:revision>
  <dcterms:created xsi:type="dcterms:W3CDTF">2026-02-24T12:04:00Z</dcterms:created>
  <dcterms:modified xsi:type="dcterms:W3CDTF">2026-02-24T12:05:00Z</dcterms:modified>
</cp:coreProperties>
</file>