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>Trata-se de recurso extraordinário (art. 102, III, a) interposto de acórdão prolatado pelo Superior Tribunal de Justiça, em ação que discute a possibilidade de devolução de quantias depositadas pelos correntistas em banco cuja falência foi decretada. Com efeito, o art. 5º, XXII, da Constituição não foi objeto de apreciação pelo Superior Tribunal de Justiça. Nessas condições, aplicam-se as Súmulas 282 e 356/STF. Ademais, incide a jurisprudência do Supremo Tribunal Federal que assentou que a questão ora discutida, relativa à restituição de valores depositados em instituição financeira submetida a regime de falência, trata-se de matéria infraconstitucional. Decisão: A Turma negou provimento ao agravo regimental, nos termos do voto do Relator.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LibreOffice/6.0.7.3$Linux_X86_64 LibreOffice_project/00m0$Build-3</Application>
  <Pages>1</Pages>
  <Words>109</Words>
  <Characters>641</Characters>
  <CharactersWithSpaces>749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2020-03-31T13:51:38Z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