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‘</w:t>
      </w:r>
      <w:r>
        <w:rPr/>
        <w:t>O que a Constituição exige, no art. 93, IX, é que a decisão judicial seja fundamentada; não, que a fundamentação seja correta, na solução das questões de fato ou de direito da lide: declinadas no julgado as premissas, corretamente assentadas ou não, mas coerentes com o dispositivo do acórdão, está satisfeita a exigência constitucional.’ O exame de eventual ofensa aos preceitos constitucionais indicados nas razões recursais, consagradores dos princípios da proteção à coisa julgada, bem como ao devido processo legal, ao contraditório e à ampla defesa (art. 5º da Lei Maior), demanda, em primeiro plano, a interpretação das normas infraconstitucionais aplicáveis à espécie, de tal modo que, se afronta ocorresse, seria indireta, o que não atende à exigência do art. 102, III, “a”, da Lei Maior, nos termos da remansosa jurisprudência deste egrégio Supremo Tribunal Federal, verbis: Não há falar em afronta aos preceitos constitucionais indicados nas razões recursais, porquanto, no caso, a suposta ofensa somente poderia ser constatada a partir da análise da legislação infraconstitucional apontada no apelo extremo, o que torna oblíqua e reflexa eventual ofensa, insuscetível, portanto, de viabilizar o conhecimento do recurso extraordinário.  Agravo regimental conhecido e não provido. É como voto.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196</Words>
  <Characters>1108</Characters>
  <CharactersWithSpaces>1304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2020-03-31T14:33:42Z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