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A repercussão geral pressupõe recurso admissível sob o crivo dos demais requisitos constitucionais e processuais de admissibilidade (art. 323 do RISTF). Inconformada com a decisão supra, a agravante interpõe o recurso fls. 1036/1046 alegando em síntese que: “por todos esses motivos, a Agravante requer que a Decisão Agravada seja reformada, tendo em vista a evidente repercussão geral da matéria discutida neste Agravo de Instrumento e o referido pré-questionamento dos dispositivos constitucionais violados”. Por fim, não se revela cognoscível, em sede de Recurso Extraordinário, a insurgência que tem como escopo o incursionamento no contexto fático-probatório engendrado nos autos, porquanto referida pretensão não se amolda à estreita via do apelo extremo, cujo conteúdo restringe-se a fundamentação vinculada de discussão eminentemente de direito e, portanto, não servil ao exame de questões que demandam o revolvimento do arcabouço fático-probatório dos autos, face ao óbice erigido pela Súmula 279/STF de seguinte teor, verbis: “Para simples reexame de prova não cabe recurso extraordinário”. Ex positis, NEGO SEGUIMENTO ao agravo de instrumento, com fundamento no artigo 21, § 1º, do RISTF.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174</Words>
  <Characters>1026</Characters>
  <CharactersWithSpaces>1200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2020-03-31T09:01:27Z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