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por ALEXANDRE MOREIRA VAZ, em face da decisão assim ementada: AGRAVO DE INSTRUMENTO. ADMINISTRATIVO. CONCURSO PÚBLICO. PERITO CRIMINAL FEDERAL. EDITAL. CURSO DE FORMAÇÃO. ORDEM DE CLASSIFICAÇÃO. LOTAÇÃO. REPERCUSSÃO GERAL NÃO EXAMINADA. ALEGAÇÃO DE AFRONTA AO ART. 37, IV, DA CONSTITUIÇÃO FEDERAL. MATÉRIA INFRACONSTITUCIONAL. OFENSA REFLEXA. REEXAME DE FATOS E PROVAS. INCIDÊNCIA DA SÚMULA N. 279/STF. 1.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2. A violação reflexa e oblíqua da Constituição Federal decorrente da necessidade de análise de malferimento de dispositivo infraconstitucional torna inadmissível o recurso extraordinário. Precedentes. 3. A Súmula 279/STF dispõe verbis : Para simples reexame de prova não cabe recurso extraordinário. AI 787.165 AGR 4. É que o recurso extraordinário não se presta ao exame de questões que demandam revolvimento do contexto fáticoprobatório dos autos, adstringindo-se à análise da violação direta da ordem constitucional. 5. In casu, o acórdão recorrido assentou: ADMINISTRATIVO. CONCURSO PÚBLICO. POLÍCIA FEDERAL. LOTAÇÃO. CURSO DE FORMAÇÃO. TURMAS SUBSEQUENTES. PREFERÊNCIA DE CANDIDATO, DE TURMA ANTERIOR, MELHOR CLASSIFICADO NO CERTAME. DESCABIMENTO. 1. Alega o impetrante ter direito à prioridade de escolha de vagas destinadas aos concluintes dos cursos de formação subseqüentes para provimento do cargo de Perito Criminal Federal, do mesmo concurso. 2. Por esse raciocínio, qualquer vaga aberta a novo candidato advindo de turma de curso de formação ulterior teria que, primeiro, ser-lhe oferecida. Se houvesse esse direito de preferência em relação a candidato de turma seguinte, no mesmo concurso, com mais razão haveria de ser respeitada a suposta preferência em relação a candidatos em concursos posteriores. 3. A isonomia deve ser observada para a nomeação e primeira lotação. A partir daí, há de se reconhecer uma margem de discricionariedade para o remanejamento de pessoal, com vistas a atender as necessidades específicas das atividades do órgão. 4. Se não pode ser nomeado integrante de turma subseqüente para uma vaga que não foi oferecida para a 1ª Turma, com mais razão não poderá ser nomeado candidato de um concurso posterior para essa nova vaga, sem que essa vaga seja oferecida a todos os que se encontram já integrando o quadro de pessoal da Polícia Federal. Isso geraria permanente rodízio de pessoal, com interrupção de atividades. 5. Apelação e remessa oficial providas para, reformando a sentença, indeferir o pedido do impetrante. 6 . Agravo de instrumento a que se nega seguimento. Em suas razões, sustenta o agravante a presença do instituto da AI 787.165 AGR repercussão geral no feito. Aduz, ainda, que não se faz necessário o revolvimento de matéria fática, uma vez que a questão é unicamente de direito. Requer, ao final, o provimento do recurso. É o relatório.</w:t>
        <w:br/>
        <w:t>O SENHOR MINISTRO LUIZ FUX (RELATOR): Não assiste razão ao agravante. Em suma, os fundamentos da decisão agravada restaram assim consignados: Cuida-se de agravo de instrumento interposto por ALEXANDRE MOREIRA VAZ, contra decisão que não admitiu seu recurso extraordinário. Em sede de apelação, o Tribunal Regional Federal da 1ª Região, reformou a sentença, consignando: ADMINISTRATIVO. CONCURSO PÚBLICO. POLÍCIA FEDERAL. LOTAÇÃO. CURSO DE FORMAÇÃO. TURMAS SUBSEQUENTES. PREFERÊNCIA DE CANDIDATO, DE TURMA ANTERIOR, MELHOR CLASSIFICADO NO CERTAME. DESCABIMENTO. 1. Alega o impetrante ter direito à prioridade de escolha de vagas destinadas aos concluintes dos cursos de formação subseqüentes para provimento do cargo de Perito Criminal Federal, do mesmo concurso. 2. Por esse raciocínio, qualquer vaga aberta a novo candidato advindo de turma de curso de formação ulterior teria que, primeiro, ser-lhe oferecida. Se houvesse esse direito de preferência em relação a candidato de turma seguinte, no mesmo concurso, com mais razão haveria de ser respeitada a suposta preferência em relação a candidatos em concursos posteriores. 3. A isonomia deve ser observada para a nomeação e primeira lotação. A partir daí, há de se reconhecer uma margem de discricionariedade para o remanejamento de pessoal, com vistas a atender as necessidades específicas das atividades do órgão. 4. Se não pode ser nomeado integrante de turma subseqüente AI 787.165 AGR para uma vaga que não foi oferecida para a 1ª Turma, com mais razão não poderá ser nomeado candidato de um concurso posterior para essa nova vaga, sem que essa vaga seja oferecida a todos os que se encontram já integrando o quadro de pessoal da Polícia Federal. Isso geraria permanente rodízio de pessoal, com interrupção de atividades. 5. Apelação e remessa oficial providas para, reformando a sentença, indeferir o pedido do impetrante. Opostos embargos de declaração, restaram rejeitados. Irresignado com o teor do acórdão prolatado, o recorrente interpôs recurso extraordinário com fulcro no art. 102, III, a , da Constituição Federal, sustentando a preliminar de repercussão geral e apontando como violado o art. 37, IV, da Carta Federal. Brevemente relatados, DECIDO . O agravo de instrumento não merece prosperar. Ab initio,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A violação constitucional dependente da análise de malferimento de dispositivo infraconstitucional encerra violação reflexa e oblíqua, tornando inadmissível o recurso extraordinário. Confira-se à guisa de exemplos, os seguintes precedentes: AGRAVO DE INSTRUMENTO ALEGADA VIOLAÇÃO A PRECEITOS INSCRITOS NA CONSTITUIÇÃO DA REPÚBLICA - AUSÊNCIA DE OFENSA DIRETA À CONSTITUIÇÃO - CONTENCIOSO DE MERA LEGALIDADE - RECURSO IMPROVIDO. - A situação de ofensa meramente reflexa ao texto constitucional, quando ocorrente, não basta, só por si, para viabilizar o acesso à via recursal extraordinária. (AI 775.275-AgR, Rel. Min. CELSO DE MELLO, Segunda Turma, DJ 28.10.2011) Agravo regimental no agravo de instrumento. Servidor AI 787.165 AGR público. Nomeação retroativa. Vencimentos atrasados. Indenização. Prequestionamento. Ausência. Ofensa reflexa. 1. Não se admite o recurso extraordinário quando tema nele suscitado não está devidamente prequestionado. Incidência da Súmula nº 282/STF. 2. Inadmissível em recurso extraordinário o exame de ofensa reflexa à Constituição Federal. Incidência da Súmula nº 636/STF. 3. Agravo regimental não provido. (AI 595.651-AgR, Rel. Min. DIAS TOFFOLI, Primeira Turma, DJ 25.10.2011) Demais disso, não se revela cognoscível, em sede de Recurso Extraordinário, a insurgência que tem como escopo o incursionamento no contexto fático-probatório engendrado nos autos, porquanto referida pretensão não se amolda à estreita via do apelo extremo, cujo conteúdo restringe-se a fundamentação vinculada de discussão eminentemente de direito e, portanto, não servil ao exame de questões que demandam o revolvimento do arcabouço fático-probatório dos autos, face ao óbice erigido pela Súmula 279/STF de seguinte teor, verbis: Para simples reexame de prova não cabe recurso extraordinário . Sob esse enfoque, ressoa inequívoca a vocação para o insucesso do apelo extremo, por força do óbice intransponível do verbete sumular supra, que veda a esta Suprema Corte, em sede de recurso extraordinário, sindicar matéria fática. Por oportuno, vale destacar preciosa lição de Roberto Rosas acerca da Súmula n. 279/STF, qual seja: Chiovenda nos dá os limites da distinção entre questão de fato e questão de direito. A questão de fato consiste em verificar se existem as circunstâncias com base nas quais deve o juiz, de acordo com a lei, considerar existentes determinados fatos concretos. A questão de direito consiste na focalização, primeiro, se a norma, a que o autor se refere, existe, como norma abstrata (Instituições de Direito Processual, 2a ed., v. I/175). Não é estranha a qualificação jurídica dos fatos dados AI 787.165 AGR como provados ( RT 275/884 e 226/583). Já se refere a matéria de fato quando a decisão assenta no processo de livre convencimento do julgador (RE 64.051, Rel. Min. Djaci Falcão, RTJ 47/276); não cabe o recurso extraordinário quando o acórdão recorrido deu determinada qualificação jurídica a fatos delituosos e se pretende atribuir aos mesmos fatos outra configuração, quando essa pretensão exige reexame de provas (ERE 58.714, Relator para o acórdão o Min. Amaral Santos, RTJ 46/821). No processo penal, a verificação entre a qualificação de motivo fútil ou estado de embriaguez para a apenação importa matéria de fato, insuscetível de reexame no recurso extraordinário (RE 63.226, Rel. Min. Eloy da Rocha, RTJ 46/666). A Súmula 279 é peremptória: Para simples reexame de prova não cabe recurso extraordinário. Não se vislumbraria a existência da questão federal motivadora do recurso extraordinário. O juiz dá a valoração mais conveniente aos elementos probatórios, atendendo aos fatos e circunstâncias constantes dos autos, ainda que não alegados pelas partes. Não se confunda com o critério legal da valorização da prova (RTJ 37/480, 56/65) (Pestana de Aguiar, Comentários ao Código de Processo Civil, 2a ed., v. VI/40, Ed. RT; Castro Nunes, Teoria e Prática do Poder Judiciário, 1943, p. 383). V. Súmula 7 do STJ. ( in , Direito Sumular, 14ª ed. São Paulo, Malheiros). Ex positis, NEGO SEGUIMENTO ao agravo de instrumento, com fundamento no art. 21, § 1º, do RISTF. Resta evidenciado que o agravante não expendeu qualquer argumento capaz de infirmar a decisão que pretende ver reformada, razão pela qual tenho que a mesma há de ser mantida íntegra por seus próprios fundamentos. Pelo exposto,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