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" w:hAnsi="Helvetica"/>
          <w:sz w:val="24"/>
        </w:rPr>
      </w:r>
    </w:p>
    <w:p>
      <w:r>
        <w:rPr>
          <w:rFonts w:ascii="Helvetica" w:hAnsi="Helvetica"/>
          <w:sz w:val="24"/>
        </w:rPr>
      </w:r>
    </w:p>
    <w:p>
      <w:r>
        <w:rPr>
          <w:rFonts w:ascii="Helvetica" w:hAnsi="Helvetica"/>
          <w:sz w:val="24"/>
        </w:rPr>
      </w:r>
    </w:p>
    <w:p>
      <w:r>
        <w:rPr>
          <w:rFonts w:ascii="Helvetica" w:hAnsi="Helvetica"/>
          <w:sz w:val="24"/>
        </w:rPr>
      </w:r>
    </w:p>
    <w:p>
      <w:r>
        <w:rPr>
          <w:rFonts w:ascii="Helvetica" w:hAnsi="Helvetica"/>
          <w:sz w:val="24"/>
        </w:rPr>
      </w:r>
    </w:p>
    <w:p>
      <w:pPr>
        <w:jc w:val="center"/>
        <w:spacing w:after="240"/>
      </w:pPr>
      <w:r>
        <w:rPr>
          <w:rFonts w:ascii="Helvetica" w:hAnsi="Helvetica"/>
          <w:b/>
          <w:color w:val="FBBF24"/>
          <w:sz w:val="22"/>
        </w:rPr>
        <w:t>SURVEY RESPONSE REPORT</w:t>
      </w:r>
    </w:p>
    <w:p>
      <w:pPr>
        <w:jc w:val="center"/>
        <w:spacing w:after="120"/>
      </w:pPr>
      <w:r>
        <w:rPr>
          <w:rFonts w:ascii="Helvetica" w:hAnsi="Helvetica"/>
          <w:b/>
          <w:color w:val="1E3A8A"/>
          <w:sz w:val="72"/>
        </w:rPr>
        <w:t>{Name}</w:t>
      </w:r>
    </w:p>
    <w:p>
      <w:pPr>
        <w:jc w:val="center"/>
        <w:spacing w:after="720"/>
      </w:pPr>
      <w:r>
        <w:rPr>
          <w:rFonts w:ascii="Helvetica" w:hAnsi="Helvetica"/>
          <w:color w:val="6B7280"/>
          <w:sz w:val="26"/>
        </w:rPr>
        <w:t>Aggregated response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24"/>
        <w:gridCol w:w="3324"/>
        <w:gridCol w:w="3324"/>
      </w:tblGrid>
      <w:tr>
        <w:tc>
          <w:tcPr>
            <w:tcW w:w="1650" w:type="pct"/>
            <w:shd w:val="clear" w:color="auto" w:fill="eff6ff"/>
            <w:tcBorders>
              <w:top w:val="single" w:sz="6" w:space="0" w:color="c7d2fe"/>
              <w:bottom w:val="single" w:sz="6" w:space="0" w:color="c7d2fe"/>
              <w:left w:val="single" w:sz="6" w:space="0" w:color="c7d2fe"/>
              <w:right w:val="single" w:sz="6" w:space="0" w:color="c7d2fe"/>
            </w:tcBorders>
            <w:vAlign w:val="center"/>
          </w:tcPr>
          <w:p>
            <w:pPr>
              <w:jc w:val="center"/>
              <w:spacing w:before="160" w:after="80"/>
            </w:pPr>
            <w:r>
              <w:rPr>
                <w:rFonts w:ascii="Helvetica" w:hAnsi="Helvetica"/>
                <w:b/>
                <w:color w:val="1E3A8A"/>
                <w:sz w:val="52"/>
              </w:rPr>
              <w:t>{COUNT:Survey_Questions__r}</w:t>
            </w:r>
          </w:p>
          <w:p>
            <w:pPr>
              <w:jc w:val="center"/>
              <w:spacing w:before="0" w:after="160"/>
            </w:pPr>
            <w:r>
              <w:rPr>
                <w:rFonts w:ascii="Helvetica" w:hAnsi="Helvetica"/>
                <w:b/>
                <w:color w:val="6B7280"/>
                <w:sz w:val="18"/>
              </w:rPr>
              <w:t>QUESTIONS</w:t>
            </w:r>
          </w:p>
        </w:tc>
        <w:tc>
          <w:tcPr>
            <w:tcW w:w="1650" w:type="pct"/>
            <w:shd w:val="clear" w:color="auto" w:fill="eff6ff"/>
            <w:tcBorders>
              <w:top w:val="single" w:sz="6" w:space="0" w:color="c7d2fe"/>
              <w:bottom w:val="single" w:sz="6" w:space="0" w:color="c7d2fe"/>
              <w:left w:val="single" w:sz="6" w:space="0" w:color="c7d2fe"/>
              <w:right w:val="single" w:sz="6" w:space="0" w:color="c7d2fe"/>
            </w:tcBorders>
            <w:vAlign w:val="center"/>
          </w:tcPr>
          <w:p>
            <w:pPr>
              <w:jc w:val="center"/>
              <w:spacing w:before="160" w:after="80"/>
            </w:pPr>
            <w:r>
              <w:rPr>
                <w:rFonts w:ascii="Helvetica" w:hAnsi="Helvetica"/>
                <w:b/>
                <w:color w:val="1E3A8A"/>
                <w:sz w:val="52"/>
              </w:rPr>
              <w:t>{COUNT:Survey_Responses__r}</w:t>
            </w:r>
          </w:p>
          <w:p>
            <w:pPr>
              <w:jc w:val="center"/>
              <w:spacing w:before="0" w:after="160"/>
            </w:pPr>
            <w:r>
              <w:rPr>
                <w:rFonts w:ascii="Helvetica" w:hAnsi="Helvetica"/>
                <w:b/>
                <w:color w:val="6B7280"/>
                <w:sz w:val="18"/>
              </w:rPr>
              <w:t>TOTAL RESPONSES</w:t>
            </w:r>
          </w:p>
        </w:tc>
        <w:tc>
          <w:tcPr>
            <w:tcW w:w="1650" w:type="pct"/>
            <w:shd w:val="clear" w:color="auto" w:fill="eff6ff"/>
            <w:tcBorders>
              <w:top w:val="single" w:sz="6" w:space="0" w:color="c7d2fe"/>
              <w:bottom w:val="single" w:sz="6" w:space="0" w:color="c7d2fe"/>
              <w:left w:val="single" w:sz="6" w:space="0" w:color="c7d2fe"/>
              <w:right w:val="single" w:sz="6" w:space="0" w:color="c7d2fe"/>
            </w:tcBorders>
            <w:vAlign w:val="center"/>
          </w:tcPr>
          <w:p>
            <w:pPr>
              <w:jc w:val="center"/>
              <w:spacing w:before="160" w:after="80"/>
            </w:pPr>
            <w:r>
              <w:rPr>
                <w:rFonts w:ascii="Helvetica" w:hAnsi="Helvetica"/>
                <w:b/>
                <w:color w:val="1E3A8A"/>
                <w:sz w:val="52"/>
              </w:rPr>
              <w:t>{today:MMM d}</w:t>
            </w:r>
          </w:p>
          <w:p>
            <w:pPr>
              <w:jc w:val="center"/>
              <w:spacing w:before="0" w:after="160"/>
            </w:pPr>
            <w:r>
              <w:rPr>
                <w:rFonts w:ascii="Helvetica" w:hAnsi="Helvetica"/>
                <w:b/>
                <w:color w:val="6B7280"/>
                <w:sz w:val="18"/>
              </w:rPr>
              <w:t>GENERATED</w:t>
            </w:r>
          </w:p>
        </w:tc>
      </w:tr>
    </w:tbl>
    <w:p>
      <w:pPr>
        <w:spacing w:before="720"/>
      </w:pPr>
      <w:r>
        <w:rPr>
          <w:rFonts w:ascii="Helvetica" w:hAnsi="Helvetica"/>
          <w:sz w:val="24"/>
        </w:rPr>
      </w:r>
    </w:p>
    <w:p>
      <w:pPr>
        <w:jc w:val="center"/>
      </w:pPr>
      <w:r>
        <w:rPr>
          <w:rFonts w:ascii="Helvetica" w:hAnsi="Helvetica"/>
          <w:color w:val="9CA3AF"/>
          <w:sz w:val="20"/>
        </w:rPr>
        <w:t>Prepared by {RunningUser.Name}</w:t>
      </w:r>
    </w:p>
    <w:p>
      <w:pPr>
        <w:jc w:val="center"/>
      </w:pPr>
      <w:r>
        <w:rPr>
          <w:rFonts w:ascii="Helvetica" w:hAnsi="Helvetica"/>
          <w:color w:val="9CA3AF"/>
          <w:sz w:val="20"/>
        </w:rPr>
        <w:t>{today:MMMM d, yyyy}</w:t>
      </w:r>
    </w:p>
    <w:p>
      <w:pPr>
        <w:pageBreakBefore/>
        <w:spacing w:after="120"/>
      </w:pPr>
      <w:r>
        <w:rPr>
          <w:rFonts w:ascii="Helvetica" w:hAnsi="Helvetica"/>
          <w:b/>
          <w:color w:val="1E3A8A"/>
          <w:sz w:val="44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w="600" w:type="pct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bbf24"/>
          </w:tcPr>
          <w:p>
            <w:pPr>
              <w:spacing w:before="0" w:after="0"/>
            </w:pPr>
            <w:r>
              <w:rPr>
                <w:rFonts w:ascii="Helvetica" w:hAnsi="Helvetica"/>
                <w:sz w:val="2"/>
              </w:rPr>
            </w:r>
          </w:p>
        </w:tc>
        <w:tc>
          <w:tcPr>
            <w:tcW w:w="4400" w:type="pct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/>
        </w:tc>
      </w:tr>
    </w:tbl>
    <w:p>
      <w:r>
        <w:rPr>
          <w:rFonts w:ascii="Helvetica" w:hAnsi="Helvetica"/>
          <w:sz w:val="16"/>
        </w:rPr>
      </w:r>
    </w:p>
    <w:p>
      <w:pPr>
        <w:spacing w:after="0"/>
      </w:pPr>
      <w:r>
        <w:rPr>
          <w:rFonts w:ascii="Helvetica" w:hAnsi="Helvetica"/>
        </w:rPr>
        <w:t>{#Survey_Questions__r}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w="400" w:type="pct"/>
            <w:tcBorders>
              <w:bottom w:val="dotted" w:sz="4" w:space="0" w:color="d1d5db"/>
            </w:tcBorders>
          </w:tcPr>
          <w:p>
            <w:pPr>
              <w:jc w:val="right"/>
              <w:spacing w:before="80" w:after="80"/>
            </w:pPr>
            <w:r>
              <w:rPr>
                <w:rFonts w:ascii="Helvetica" w:hAnsi="Helvetica"/>
                <w:b/>
                <w:color w:val="FBBF24"/>
                <w:sz w:val="22"/>
              </w:rPr>
              <w:t>{Display_Order__c}.</w:t>
            </w:r>
          </w:p>
        </w:tc>
        <w:tc>
          <w:tcPr>
            <w:tcW w:w="4600" w:type="pct"/>
            <w:tcBorders>
              <w:bottom w:val="dotted" w:sz="4" w:space="0" w:color="d1d5db"/>
            </w:tcBorders>
          </w:tcPr>
          <w:p>
            <w:pPr>
              <w:spacing w:before="80" w:after="80"/>
            </w:pPr>
            <w:r>
              <w:rPr>
                <w:rFonts w:ascii="Helvetica" w:hAnsi="Helvetica"/>
                <w:color w:val="1F2937"/>
                <w:sz w:val="22"/>
              </w:rPr>
              <w:t>{Question_Text__c}</w:t>
            </w:r>
          </w:p>
        </w:tc>
      </w:tr>
    </w:tbl>
    <w:p>
      <w:pPr>
        <w:spacing w:after="0"/>
      </w:pPr>
      <w:r>
        <w:rPr>
          <w:rFonts w:ascii="Helvetica" w:hAnsi="Helvetica"/>
        </w:rPr>
        <w:t>{/Survey_Questions__r}</w:t>
      </w:r>
    </w:p>
    <w:p>
      <w:pPr>
        <w:pageBreakBefore/>
        <w:spacing w:after="0"/>
      </w:pPr>
      <w:r>
        <w:rPr>
          <w:rFonts w:ascii="Helvetica" w:hAnsi="Helvetica"/>
        </w:rPr>
        <w:t>{#Survey_Questions__r}</w:t>
      </w:r>
    </w:p>
    <w:p>
      <w:pPr>
        <w:spacing w:after="60"/>
      </w:pPr>
      <w:r>
        <w:rPr>
          <w:rFonts w:ascii="Helvetica" w:hAnsi="Helvetica"/>
          <w:b/>
          <w:color w:val="FBBF24"/>
          <w:sz w:val="18"/>
        </w:rPr>
        <w:t>QUESTION {Display_Order__c}</w:t>
      </w:r>
    </w:p>
    <w:p>
      <w:pPr>
        <w:spacing w:after="160"/>
      </w:pPr>
      <w:r>
        <w:rPr>
          <w:rFonts w:ascii="Helvetica" w:hAnsi="Helvetica"/>
          <w:b/>
          <w:color w:val="1E3A8A"/>
          <w:sz w:val="36"/>
        </w:rPr>
        <w:t>{Question_Text__c}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w="500" w:type="pct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bbf24"/>
          </w:tcPr>
          <w:p>
            <w:pPr>
              <w:spacing w:before="0" w:after="0"/>
            </w:pPr>
            <w:r>
              <w:rPr>
                <w:rFonts w:ascii="Helvetica" w:hAnsi="Helvetica"/>
                <w:sz w:val="2"/>
              </w:rPr>
            </w:r>
          </w:p>
        </w:tc>
        <w:tc>
          <w:tcPr>
            <w:tcW w:w="4500" w:type="pct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/>
        </w:tc>
      </w:tr>
    </w:tbl>
    <w:p>
      <w:r>
        <w:rPr>
          <w:rFonts w:ascii="Helvetica" w:hAnsi="Helvetica"/>
          <w:sz w:val="16"/>
        </w:rPr>
      </w:r>
    </w:p>
    <w:p>
      <w:pPr>
        <w:spacing w:after="0"/>
      </w:pPr>
      <w:r>
        <w:rPr>
          <w:rFonts w:ascii="Helvetica" w:hAnsi="Helvetica"/>
        </w:rPr>
        <w:t>{#ChartBucket:Survey_Responses__r:Selected_Answer__c}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3"/>
        <w:gridCol w:w="2493"/>
        <w:gridCol w:w="2493"/>
        <w:gridCol w:w="2493"/>
      </w:tblGrid>
      <w:tr>
        <w:tc>
          <w:tcPr>
            <w:tcW w:w="1400" w:type="pct"/>
            <w:tcBorders>
              <w:bottom w:val="single" w:sz="4" w:space="0" w:color="e5e7eb"/>
            </w:tcBorders>
          </w:tcPr>
          <w:p>
            <w:pPr>
              <w:spacing w:before="80" w:after="80"/>
            </w:pPr>
            <w:r>
              <w:rPr>
                <w:rFonts w:ascii="Helvetica" w:hAnsi="Helvetica"/>
                <w:b/>
                <w:color w:val="1F2937"/>
                <w:sz w:val="20"/>
              </w:rPr>
              <w:t>{key_label}</w:t>
            </w:r>
          </w:p>
        </w:tc>
        <w:tc>
          <w:tcPr>
            <w:tcW w:w="{percent_int}00" w:type="pct"/>
            <w:shd w:val="clear" w:color="auto" w:fill="{color_hex}"/>
            <w:tcBorders>
              <w:bottom w:val="single" w:sz="4" w:space="0" w:color="e5e7eb"/>
            </w:tcBorders>
          </w:tcPr>
          <w:p>
            <w:pPr>
              <w:spacing w:before="120" w:after="120"/>
            </w:pPr>
            <w:r>
              <w:rPr>
                <w:rFonts w:ascii="Helvetica" w:hAnsi="Helvetica"/>
                <w:sz w:val="2"/>
              </w:rPr>
            </w:r>
          </w:p>
        </w:tc>
        <w:tc>
          <w:tcPr>
            <w:tcW w:w="2500" w:type="pct"/>
            <w:shd w:val="clear" w:color="auto" w:fill="f3f4f6"/>
            <w:tcBorders>
              <w:bottom w:val="single" w:sz="4" w:space="0" w:color="e5e7eb"/>
            </w:tcBorders>
          </w:tcPr>
          <w:p>
            <w:pPr>
              <w:spacing w:before="120" w:after="120"/>
            </w:pPr>
            <w:r>
              <w:rPr>
                <w:rFonts w:ascii="Helvetica" w:hAnsi="Helvetica"/>
                <w:sz w:val="2"/>
              </w:rPr>
            </w:r>
          </w:p>
        </w:tc>
        <w:tc>
          <w:tcPr>
            <w:tcW w:w="1100" w:type="pct"/>
            <w:tcBorders>
              <w:bottom w:val="single" w:sz="4" w:space="0" w:color="e5e7eb"/>
            </w:tcBorders>
          </w:tcPr>
          <w:p>
            <w:pPr>
              <w:jc w:val="right"/>
              <w:spacing w:before="80" w:after="80"/>
            </w:pPr>
            <w:r>
              <w:rPr>
                <w:rFonts w:ascii="Helvetica" w:hAnsi="Helvetica"/>
                <w:color w:val="6B7280"/>
                <w:sz w:val="20"/>
              </w:rPr>
              <w:t>{count} ({percent}%)</w:t>
            </w:r>
          </w:p>
        </w:tc>
      </w:tr>
    </w:tbl>
    <w:p>
      <w:pPr>
        <w:spacing w:after="0"/>
      </w:pPr>
      <w:r>
        <w:rPr>
          <w:rFonts w:ascii="Helvetica" w:hAnsi="Helvetica"/>
        </w:rPr>
        <w:t>{:else}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w="5000" w:type="pct"/>
            <w:shd w:val="clear" w:color="auto" w:fill="fef3c7"/>
            <w:tcBorders>
              <w:left w:val="single" w:sz="12" w:space="0" w:color="fbbf24"/>
            </w:tcBorders>
          </w:tcPr>
          <w:p>
            <w:pPr>
              <w:spacing w:before="120" w:after="120"/>
            </w:pPr>
            <w:r>
              <w:rPr>
                <w:rFonts w:ascii="Helvetica" w:hAnsi="Helvetica"/>
                <w:color w:val="92400E"/>
                <w:sz w:val="20"/>
              </w:rPr>
              <w:t>No responses recorded for this question yet.</w:t>
            </w:r>
          </w:p>
        </w:tc>
      </w:tr>
    </w:tbl>
    <w:p>
      <w:pPr>
        <w:spacing w:after="0"/>
      </w:pPr>
      <w:r>
        <w:rPr>
          <w:rFonts w:ascii="Helvetica" w:hAnsi="Helvetica"/>
        </w:rPr>
        <w:t>{/ChartBucket}</w:t>
      </w:r>
    </w:p>
    <w:p>
      <w:pPr>
        <w:pageBreakBefore/>
        <w:spacing w:after="0"/>
      </w:pPr>
      <w:r>
        <w:rPr>
          <w:rFonts w:ascii="Helvetica" w:hAnsi="Helvetica"/>
        </w:rPr>
        <w:t>{/Survey_Questions__r}</w:t>
      </w:r>
    </w:p>
    <w:p>
      <w:pPr>
        <w:pageBreakBefore/>
        <w:spacing w:after="120"/>
      </w:pPr>
      <w:r>
        <w:rPr>
          <w:rFonts w:ascii="Helvetica" w:hAnsi="Helvetica"/>
          <w:b/>
          <w:color w:val="1E3A8A"/>
          <w:sz w:val="44"/>
        </w:rPr>
        <w:t>Methodology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w="600" w:type="pct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bbf24"/>
          </w:tcPr>
          <w:p>
            <w:pPr>
              <w:spacing w:before="0" w:after="0"/>
            </w:pPr>
            <w:r>
              <w:rPr>
                <w:rFonts w:ascii="Helvetica" w:hAnsi="Helvetica"/>
                <w:sz w:val="2"/>
              </w:rPr>
            </w:r>
          </w:p>
        </w:tc>
        <w:tc>
          <w:tcPr>
            <w:tcW w:w="4400" w:type="pct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/>
        </w:tc>
      </w:tr>
    </w:tbl>
    <w:p>
      <w:r>
        <w:rPr>
          <w:rFonts w:ascii="Helvetica" w:hAnsi="Helvetica"/>
          <w:sz w:val="1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w="5000" w:type="pct"/>
            <w:shd w:val="clear" w:color="auto" w:fill="f3f4f6"/>
            <w:tcBorders>
              <w:left w:val="single" w:sz="12" w:space="0" w:color="1e3a8a"/>
            </w:tcBorders>
          </w:tcPr>
          <w:p>
            <w:pPr>
              <w:spacing w:before="140" w:after="140"/>
            </w:pPr>
            <w:r>
              <w:rPr>
                <w:rFonts w:ascii="Helvetica" w:hAnsi="Helvetica"/>
                <w:b/>
                <w:color w:val="1E3A8A"/>
                <w:sz w:val="22"/>
              </w:rPr>
              <w:t>Aggregation.</w:t>
            </w:r>
            <w:r>
              <w:rPr>
                <w:rFonts w:ascii="Helvetica" w:hAnsi="Helvetica"/>
                <w:color w:val="1F2937"/>
                <w:sz w:val="22"/>
              </w:rPr>
              <w:t xml:space="preserve"> Every chart in this report aggregates the underlying Survey Response records via DocGen's bucket-aggregation tag. The aggregation is performed server-side via SOQL GROUP BY, so the report renders at the same speed against 100 responses as it does against 100,000.</w:t>
            </w:r>
          </w:p>
        </w:tc>
      </w:tr>
    </w:tbl>
    <w:p>
      <w:r>
        <w:rPr>
          <w:rFonts w:ascii="Helvetica" w:hAnsi="Helvetica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w="5000" w:type="pct"/>
            <w:shd w:val="clear" w:color="auto" w:fill="f3f4f6"/>
            <w:tcBorders>
              <w:left w:val="single" w:sz="12" w:space="0" w:color="1e3a8a"/>
            </w:tcBorders>
          </w:tcPr>
          <w:p>
            <w:pPr>
              <w:spacing w:before="140" w:after="140"/>
            </w:pPr>
            <w:r>
              <w:rPr>
                <w:rFonts w:ascii="Helvetica" w:hAnsi="Helvetica"/>
                <w:b/>
                <w:color w:val="1E3A8A"/>
                <w:sz w:val="22"/>
              </w:rPr>
              <w:t>Sort &amp; null handling.</w:t>
            </w:r>
            <w:r>
              <w:rPr>
                <w:rFonts w:ascii="Helvetica" w:hAnsi="Helvetica"/>
                <w:color w:val="1F2937"/>
                <w:sz w:val="22"/>
              </w:rPr>
              <w:t xml:space="preserve"> Buckets are sorted descending by count, with alphabetical ordering for ties. Null or blank answers collapse into a single "Not Specified" bucket so non-response rates are visible at a glance.</w:t>
            </w:r>
          </w:p>
        </w:tc>
      </w:tr>
    </w:tbl>
    <w:p>
      <w:r>
        <w:rPr>
          <w:rFonts w:ascii="Helvetica" w:hAnsi="Helvetica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w="5000" w:type="pct"/>
            <w:shd w:val="clear" w:color="auto" w:fill="f3f4f6"/>
            <w:tcBorders>
              <w:left w:val="single" w:sz="12" w:space="0" w:color="1e3a8a"/>
            </w:tcBorders>
          </w:tcPr>
          <w:p>
            <w:pPr>
              <w:spacing w:before="140" w:after="140"/>
            </w:pPr>
            <w:r>
              <w:rPr>
                <w:rFonts w:ascii="Helvetica" w:hAnsi="Helvetica"/>
                <w:b/>
                <w:color w:val="1E3A8A"/>
                <w:sz w:val="22"/>
              </w:rPr>
              <w:t>Field-level security.</w:t>
            </w:r>
            <w:r>
              <w:rPr>
                <w:rFonts w:ascii="Helvetica" w:hAnsi="Helvetica"/>
                <w:color w:val="1F2937"/>
                <w:sz w:val="22"/>
              </w:rPr>
              <w:t xml:space="preserve"> All queries run in USER_MODE — the values reflect what the running user is authorized to read. A user without access to a particular response field would see that question's chart fall back to an empty state, never a leaked aggregate.</w:t>
            </w:r>
          </w:p>
        </w:tc>
      </w:tr>
    </w:tbl>
    <w:p>
      <w:r>
        <w:rPr>
          <w:rFonts w:ascii="Helvetica" w:hAnsi="Helvetica"/>
          <w:sz w:val="12"/>
        </w:rPr>
      </w:r>
    </w:p>
    <w:p>
      <w:pPr>
        <w:spacing w:before="240"/>
      </w:pPr>
      <w:r>
        <w:rPr>
          <w:rFonts w:ascii="Helvetica" w:hAnsi="Helvetica"/>
          <w:sz w:val="2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2"/>
      </w:tblGrid>
      <w:tr>
        <w:tc>
          <w:tcPr>
            <w:tcW w:w="5000" w:type="pct"/>
            <w:shd w:val="clear" w:color="auto" w:fill="f9fafb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pPr>
              <w:spacing w:before="140" w:after="140"/>
            </w:pPr>
            <w:r>
              <w:rPr>
                <w:rFonts w:ascii="Helvetica" w:hAnsi="Helvetica"/>
                <w:color w:val="6B7280"/>
                <w:sz w:val="18"/>
              </w:rPr>
              <w:t>Report generated by DocGen v1.91 on {today:MMMM d, yyyy} at {now:h:mm a}. Source: Survey {Name} containing {COUNT:Survey_Questions__r} survey questions and {COUNT:Survey_Responses__r} aggregated responses.</w:t>
            </w:r>
          </w:p>
        </w:tc>
      </w:tr>
    </w:tbl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12" w:lineRule="auto"/>
    </w:pPr>
    <w:rPr>
      <w:rFonts w:ascii="Helvetica" w:hAnsi="Helvetica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