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Helvetica" w:hAnsi="Helvetica"/>
          <w:b/>
          <w:color w:val="1E3A8A"/>
          <w:sz w:val="44"/>
        </w:rPr>
        <w:t>{Name}</w:t>
      </w:r>
    </w:p>
    <w:p>
      <w:pPr>
        <w:spacing w:before="60" w:after="120"/>
      </w:pPr>
      <w:r>
        <w:rPr>
          <w:rFonts w:ascii="Helvetica" w:hAnsi="Helvetica"/>
          <w:i/>
          <w:color w:val="6B7280"/>
          <w:sz w:val="22"/>
        </w:rPr>
        <w:t xml:space="preserve">Chart Engine Showcase — all 8 styles rendered against {COUNT:Survey_Responses__r} responses across {COUNT:Survey_Questions__r} questions.</w:t>
      </w:r>
    </w:p>
    <w:p>
      <w:pPr>
        <w:spacing w:before="60" w:after="120"/>
      </w:pPr>
      <w:r>
        <w:rPr>
          <w:rFonts w:ascii="Helvetica" w:hAnsi="Helvetica"/>
          <w:color w:val="9CA3AF"/>
          <w:sz w:val="18"/>
        </w:rPr>
        <w:t xml:space="preserve">Generated {today:MMMM d, yyyy} by DocGen</w:t>
      </w:r>
    </w:p>
    <w:p>
      <w:pPr>
        <w:spacing w:before="240" w:after="120"/>
      </w:pPr>
      <w:r>
        <w:rPr>
          <w:rFonts w:ascii="Helvetica" w:hAnsi="Helvetica"/>
          <w:b/>
          <w:color w:val="1E3A8A"/>
          <w:sz w:val="30"/>
        </w:rPr>
        <w:t>1. Bar (horizontal)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Baseline bucket aggregation — one bar per commute mode, length proportional to count.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{Chart:Survey_Responses__r:Selected_Answer__c:bar:title=Commute Mode Distribution}</w:t>
      </w:r>
    </w:p>
    <w:p>
      <w:pPr>
        <w:pageBreakBefore/>
        <w:spacing w:before="240" w:after="120"/>
      </w:pPr>
      <w:r>
        <w:rPr>
          <w:rFonts w:ascii="Helvetica" w:hAnsi="Helvetica"/>
          <w:b/>
          <w:color w:val="1E3A8A"/>
          <w:sz w:val="30"/>
        </w:rPr>
        <w:t>2. Column (vertical)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Same data, vertical orientation. Useful when category labels are short.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{Chart:Survey_Responses__r:Selected_Answer__c:column:title=Commute Mode (Vertical)}</w:t>
      </w:r>
    </w:p>
    <w:p>
      <w:pPr>
        <w:pageBreakBefore/>
        <w:spacing w:before="240" w:after="120"/>
      </w:pPr>
      <w:r>
        <w:rPr>
          <w:rFonts w:ascii="Helvetica" w:hAnsi="Helvetica"/>
          <w:b/>
          <w:color w:val="1E3A8A"/>
          <w:sz w:val="30"/>
        </w:rPr>
        <w:t>3. Pie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Slice per commute mode with a right-side legend showing count and percentage.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{Chart:Survey_Responses__r:Selected_Answer__c:pie:title=Commute Mode Share}</w:t>
      </w:r>
    </w:p>
    <w:p>
      <w:pPr>
        <w:pageBreakBefore/>
        <w:spacing w:before="240" w:after="120"/>
      </w:pPr>
      <w:r>
        <w:rPr>
          <w:rFonts w:ascii="Helvetica" w:hAnsi="Helvetica"/>
          <w:b/>
          <w:color w:val="1E3A8A"/>
          <w:sz w:val="30"/>
        </w:rPr>
        <w:t>4. Donut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Pie with a center hole — visually lighter, leaves space for a totals callout.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{Chart:Survey_Responses__r:Selected_Answer__c:donut:title=Commute Mode Share (Donut)}</w:t>
      </w:r>
    </w:p>
    <w:p>
      <w:pPr>
        <w:pageBreakBefore/>
        <w:spacing w:before="240" w:after="120"/>
      </w:pPr>
      <w:r>
        <w:rPr>
          <w:rFonts w:ascii="Helvetica" w:hAnsi="Helvetica"/>
          <w:b/>
          <w:color w:val="1E3A8A"/>
          <w:sz w:val="30"/>
        </w:rPr>
        <w:t>5. Stacked (cross-tab)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Horizontal stacked bar — one row per commute mode, segmented by office location. Each row's segments sum to 100% of that mode's responses.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{Chart:Survey_Responses__r:Selected_Answer__c:stacked:groupBy=Location__c&amp;colSort=8000 Marina,3260 Bayshore&amp;title=Location Mix per Commute Mode}</w:t>
      </w:r>
    </w:p>
    <w:p>
      <w:pPr>
        <w:pageBreakBefore/>
        <w:spacing w:before="240" w:after="120"/>
      </w:pPr>
      <w:r>
        <w:rPr>
          <w:rFonts w:ascii="Helvetica" w:hAnsi="Helvetica"/>
          <w:b/>
          <w:color w:val="1E3A8A"/>
          <w:sz w:val="30"/>
        </w:rPr>
        <w:t>6. Clustered (cross-tab)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Vertical clustered bars — one cluster per commute mode, one mini-bar per location. Heights auto-scale so the peak observed percentage fills the plot.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{Chart:Survey_Responses__r:Selected_Answer__c:clustered:groupBy=Location__c&amp;colSort=8000 Marina,3260 Bayshore&amp;title=Mode by Location Comparison}</w:t>
      </w:r>
    </w:p>
    <w:p>
      <w:pPr>
        <w:pageBreakBefore/>
        <w:spacing w:before="240" w:after="120"/>
      </w:pPr>
      <w:r>
        <w:rPr>
          <w:rFonts w:ascii="Helvetica" w:hAnsi="Helvetica"/>
          <w:b/>
          <w:color w:val="1E3A8A"/>
          <w:sz w:val="30"/>
        </w:rPr>
        <w:t>7. Line (multi-series)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Polyline through (mode index, count) — one line per location when cross-tab is enabled.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{Chart:Survey_Responses__r:Selected_Answer__c:line:groupBy=Location__c&amp;colSort=8000 Marina,3260 Bayshore&amp;title=Commute Trend by Location}</w:t>
      </w:r>
    </w:p>
    <w:p>
      <w:pPr>
        <w:pageBreakBefore/>
        <w:spacing w:before="240" w:after="120"/>
      </w:pPr>
      <w:r>
        <w:rPr>
          <w:rFonts w:ascii="Helvetica" w:hAnsi="Helvetica"/>
          <w:b/>
          <w:color w:val="1E3A8A"/>
          <w:sz w:val="30"/>
        </w:rPr>
        <w:t>8. Area (multi-series)</w:t>
      </w:r>
    </w:p>
    <w:p>
      <w:pPr>
        <w:spacing w:before="60" w:after="120"/>
      </w:pPr>
      <w:r>
        <w:rPr>
          <w:rFonts w:ascii="Helvetica" w:hAnsi="Helvetica"/>
          <w:color w:val="374151"/>
          <w:sz w:val="22"/>
        </w:rPr>
        <w:t xml:space="preserve">Line chart with a filled polygon under each series — emphasizes accumulated volume.</w:t>
      </w:r>
    </w:p>
    <w:p>
      <w:pPr>
        <w:spacing w:before="120" w:after="120"/>
      </w:pPr>
      <w:r>
        <w:rPr>
          <w:rFonts w:ascii="Helvetica" w:hAnsi="Helvetica"/>
          <w:color w:val="1F2937"/>
          <w:sz w:val="22"/>
        </w:rPr>
        <w:t xml:space="preserve">{Chart:Survey_Responses__r:Selected_Answer__c:area:groupBy=Location__c&amp;colSort=8000 Marina,3260 Bayshore&amp;title=Commute Volume by Location}</w:t>
      </w:r>
    </w:p>
    <w:p>
      <w:pPr>
        <w:spacing w:before="60" w:after="120"/>
      </w:pPr>
      <w:r>
        <w:rPr>
          <w:rFonts w:ascii="Helvetica" w:hAnsi="Helvetica"/>
          <w:i/>
          <w:color w:val="9CA3AF"/>
          <w:sz w:val="18"/>
        </w:rPr>
        <w:t xml:space="preserve">DocGen Chart Engine — pure-Apex PNG rasterization, no external callouts.</w:t>
      </w:r>
    </w:p>
    <w:sectPr>
      <w:pgSz w:w="12240" w:h="15840"/>
      <w:pgMar w:top="1247" w:right="1134" w:bottom="124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12" w:lineRule="auto"/>
    </w:pPr>
    <w:rPr>
      <w:rFonts w:ascii="Helvetica" w:hAnsi="Helvetica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