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LEGAL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A- THE COURTS</w:t>
      </w:r>
    </w:p>
    <w:p w:rsidR="00000000" w:rsidDel="00000000" w:rsidP="00000000" w:rsidRDefault="00000000" w:rsidRPr="00000000" w14:paraId="00000004">
      <w:pPr>
        <w:rPr>
          <w:color w:val="ff0000"/>
        </w:rPr>
      </w:pPr>
      <w:r w:rsidDel="00000000" w:rsidR="00000000" w:rsidRPr="00000000">
        <w:rPr>
          <w:rtl w:val="0"/>
        </w:rPr>
      </w:r>
    </w:p>
    <w:p w:rsidR="00000000" w:rsidDel="00000000" w:rsidP="00000000" w:rsidRDefault="00000000" w:rsidRPr="00000000" w14:paraId="00000005">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Ministry of Justice initiates a public consultation on a proposal to expand the jurisdiction of the First-tier Tribunal (Property Chamber) to include certain low-value commercial lease disputes, which are currently heard in the County Court. The stated aims are to reduce costs, speed up resolutions, and utilise the Tribunal's specialist expertise. A group of commercial landlords opposes the move, arguing it will deprive parties of important procedural safeguards and a right to a hearing before a legally qualified judge.Which of the following is the most accurate statement regarding the current constitutional position of tribunals like the First-tier Tribunal within the English legal system?</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They are inferior courts of record, and their decisions create binding precedent for other tribunals and courts.</w:t>
        <w:br w:type="textWrapping"/>
        <w:t xml:space="preserve">B. They are administrative bodies, and their decisions are merely recommendations to the relevant government department.</w:t>
        <w:br w:type="textWrapping"/>
        <w:t xml:space="preserve">C. They are part of the executive branch of the state, operating under the auspices of the Lord Chancellor, and are not considered part of the judiciary.</w:t>
        <w:br w:type="textWrapping"/>
        <w:t xml:space="preserve">D. They are part of the judicial system but their primary role is to provide a specialist, accessible forum for resolving disputes in specific areas.</w:t>
        <w:br w:type="textWrapping"/>
        <w:t xml:space="preserve">E. They are private arbitration forums established by statute, and their authority derives solely from the parties' consent to use them.</w:t>
        <w:br w:type="textWrapping"/>
        <w:t xml:space="preserve">The correct option is D</w:t>
        <w:br w:type="textWrapping"/>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correct. Since the reforms under the Tribunals, Courts and Enforcement Act 2007, tribunals (organised into the First-tier and Upper Tribunal) are fully integrated into the justice system. They are recognised as exercising the judicial power of the state. Tribunal judges and members are part of the judiciary (led by the Senior President of Tribunals). Their primary characteristics are specialisation, accessibility, and relative informality compared to courts, but they are fundamentally judicial bodies.</w:t>
        <w:br w:type="textWrapping"/>
        <w:t xml:space="preserve">Option A is incorrect. Only some tribunals, like the Upper Tribunal, are courts of record and can set binding precedent (primarily for other tribunals). The First-tier Tribunal is not a court of record and its decisions do not create binding precedent in the same way. The statement is overly broad.</w:t>
        <w:br w:type="textWrapping"/>
        <w:t xml:space="preserve">Option B is incorrect and reflects the outdated position of pre-2007 tribunals, which were often seen as appendages of government departments. Modern tribunals are independent and make legally binding decisions.</w:t>
        <w:br w:type="textWrapping"/>
        <w:t xml:space="preserve">Option C is incorrect. While administratively supported by HMCTS (an executive agency), tribunals are judicially independent. Tribunal judges are appointed under the same constitutional guarantees as court judges and are unequivocally part of the judiciary.</w:t>
        <w:br w:type="textWrapping"/>
        <w:t xml:space="preserve">Option E is incorrect. Tribunals are public, statutory bodies. Their jurisdiction is mandated by law, and parties can be compelled to use them. They are distinct from private arbitration.</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Following a highly publicised trial at the Crown Court, a defendant is convicted of a serious fraud offence. Her legal team believes the trial judge made a significant error of law in her summing-up to the jury by misstating the legal test for dishonesty. They wish to appeal the conviction.</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correct route and court for this appeal?</w:t>
        <w:br w:type="textWrapping"/>
        <w:t xml:space="preserve">A. Apply to the Crown Court judge for leave to appeal to the King’s Bench Division of the High Court.</w:t>
        <w:br w:type="textWrapping"/>
        <w:t xml:space="preserve">B. Apply to the Court of Appeal (Criminal Division) for leave to appeal against conviction.</w:t>
        <w:br w:type="textWrapping"/>
        <w:t xml:space="preserve">C. Apply to a single judge of the King’s Bench Division for leave to appeal to the Divisional Court.</w:t>
        <w:br w:type="textWrapping"/>
        <w:t xml:space="preserve">D. Lodge an appeal as of right to the Supreme Court on a point of law of public importance.</w:t>
        <w:br w:type="textWrapping"/>
        <w:t xml:space="preserve">E. Apply to the trial judge for a certificate of appeal, then directly to the Supreme Court.</w:t>
        <w:br w:type="textWrapping"/>
        <w:t xml:space="preserve">The correct option is B</w:t>
        <w:br w:type="textWrapping"/>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Under the Criminal Appeal Act 1968, appeals against conviction on indictment (from the Crown Court) lie to the Court of Appeal (Criminal Division). Leave to appeal is required, which may be granted by a single judge of the Court of Appeal or by the Full Court. An alleged error of law in the judge's summing-up is a classic ground for such an appeal.</w:t>
        <w:br w:type="textWrapping"/>
        <w:t xml:space="preserve">Option A is incorrect. Appeals from the Crown Court in its appellate capacity (hearing appeals from the Magistrates' Court) go to the King’s Bench Divisional Court. Appeals from Crown Court trials go to the Court of Appeal.</w:t>
        <w:br w:type="textWrapping"/>
        <w:t xml:space="preserve">Option C is incorrect. This describes the "leapfrog" appeal route in civil cases under the Administration of Justice Act 1969, which is irrelevant to criminal appeals from the Crown Court.</w:t>
        <w:br w:type="textWrapping"/>
        <w:t xml:space="preserve">Option D is incorrect. Appeals to the Supreme Court are not as of right. They require leave from the Court of Appeal or the Supreme Court itself, and the case must raise a point of law of general public importance.</w:t>
        <w:br w:type="textWrapping"/>
        <w:t xml:space="preserve">Option E is incorrect. This loosely describes the procedure for a prosecution appeal against a terminating ruling under the Criminal Justice Act 2003, not a defence appeal against conviction.</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complex multi-party commercial contract dispute, involving an alleged sum of £15 million, is issued in the Business and Property Courts in London. The claim involves detailed allegations of fraudulent misrepresentation. The parties agree that the case requires extremely active and expert case management. They are considering whether to request that their case is assigned to a judge who is a former commercial barrister, known for robust management of heavy litigation.</w:t>
        <w:br w:type="textWrapping"/>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constitutional principle relevant to how this judge would be selected to hear the case?</w:t>
        <w:br w:type="textWrapping"/>
        <w:t xml:space="preserve">A. The principle of open justice requires that judges are randomly allocated to cases by a computer system to prevent 'forum shopping'.</w:t>
        <w:br w:type="textWrapping"/>
        <w:t xml:space="preserve">B. The Lord Chancellor, as head of the judiciary, has the prerogative to assign specific judges to high-profile cases to ensure public confidence.</w:t>
        <w:br w:type="textWrapping"/>
        <w:t xml:space="preserve">C. The deployment of judges within the court structure is a matter for the judiciary, exercised by the relevant lead judge.</w:t>
        <w:br w:type="textWrapping"/>
        <w:t xml:space="preserve">D. The Master of the Rolls, as president of the Court of Appeal, directs all judicial deployments in the High Court and below.</w:t>
        <w:br w:type="textWrapping"/>
        <w:t xml:space="preserve">E. The parties have an absolute right to jointly stipulate which judge or type of judge (e.g., a former barrister) hears their case.</w:t>
        <w:br w:type="textWrapping"/>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Judicial deployment (the assignment of judges to cases) is an executive function of the judiciary, not the government. It is managed by the senior judiciary (e.g., the Lord Chief Justice for criminal courts, the Chancellor of the High Court for the Chancery Division). The principles are set out in the Judicial Review and Courts Act 2022 and related guidance, focusing on efficient use of resources, judicial expertise, and fairness. While parties can express views, the decision is judicial.</w:t>
        <w:br w:type="textWrapping"/>
        <w:t xml:space="preserve">Option A is incorrect. While some courts use automated listing for initial allocation to ensure fairness, specialist courts like the Business and Property Courts actively manage judicial deployment based on case complexity and judge specialism. It is not purely random.</w:t>
        <w:br w:type="textWrapping"/>
        <w:t xml:space="preserve">Option B is incorrect. The Lord Chancellor is a government minister. Since the Constitutional Reform Act 2005, the Lord Chancellor no longer has a role in judicial deployment, which is now the responsibility of the Lord Chief Justice and the senior judiciary to protect judicial independence.</w:t>
        <w:br w:type="textWrapping"/>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The Master of the Rolls is head of the Civil Division of the Court of Appeal and has specific responsibilities, but does not direct deployments in the High Court. That is the function of the Chancellor of the High Court (for Chancery/B&amp;PCs) and the President of the King’s Bench Division.</w:t>
        <w:br w:type="textWrapping"/>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Parties cannot choose their judge. They may request a specialist judge or a judge with particular experience, but the final decision rests with the court's listing office and supervising judge.</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solicitor-advocate from a large law firm is instructed to represent a client at a final hearing in the High Court (Chancery Division) in a matter concerning the interpretation of a trust deed. The solicitor-advocate holds full Higher Rights of Audience. On the morning of the hearing, the barrister leading the case for the other side becomes suddenly ill. The opposing side seeks an adjournment, but the judge refuses, stating the hearing must proceed. They instruct their junior barrister, who has only two years' call experience, to take over as lead advocate. The solicitor-advocate’s client is concerned that this gives the other side an unfair advantage as their advocate is a barrister.</w:t>
        <w:br w:type="textWrapping"/>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relation to rights of audience, which of the following is accurate?</w:t>
        <w:br w:type="textWrapping"/>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junior barrister cannot conduct the hearing without a leader present, as they lack the necessary seniority for a High Court trial.</w:t>
        <w:br w:type="textWrapping"/>
        <w:t xml:space="preserve">B. Both the solicitor-advocate and the junior barrister have equal rights of audience before the High Court.</w:t>
        <w:br w:type="textWrapping"/>
        <w:t xml:space="preserve">C. The solicitor-advocate’s rights are limited to interim applications; only a barrister can conduct a final trial in the High Court.</w:t>
        <w:br w:type="textWrapping"/>
        <w:t xml:space="preserve">D. The junior barrister, as a member of an Inns of Court, has a superior right of audience to a solicitor-advocate.</w:t>
        <w:br w:type="textWrapping"/>
        <w:t xml:space="preserve">E. The judge has a discretion to refuse audience to the solicitor-advocate and require the party to instruct a barrister.</w:t>
        <w:br w:type="textWrapping"/>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Since the Courts and Legal Services Act 1990 and the Access to Justice Act 1999, the monopoly of barristers on higher court advocacy has been abolished. A solicitor-advocate who has obtained Higher Rights of Audience (through qualification) has the same right to appear in the higher courts as a barrister of any call. The junior barrister, by virtue of being called to the Bar, also has that right. Their rights are statutorily equal.</w:t>
        <w:br w:type="textWrapping"/>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There is no rule requiring a barrister of a certain seniority to conduct a High Court trial. A junior barrister can conduct a case alone.</w:t>
        <w:br w:type="textWrapping"/>
        <w:t xml:space="preserve">Option C is incorrect. Solicitor-advocates with full rights can conduct any hearing, including trials, in the higher courts for which they are qualified.</w:t>
        <w:br w:type="textWrapping"/>
        <w:t xml:space="preserve">Option D is incorrect. The law no longer recognises a hierarchy based on professional title alone. Rights are granted by statute and are identical for those who hold them.</w:t>
        <w:br w:type="textWrapping"/>
        <w:t xml:space="preserve">Option E is incorrect. A judge cannot arbitrarily refuse audience to a legally qualified advocate who has a right of audience. They could only do so in exceptional circumstances, such as for misconduct, not simply because they are a solicitor rather than a barrister.</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claimant wins a case in the County Court for damages of £30,000. The defendant applies to the trial judge for permission to appeal. The judge refuses permission. The defendant is convinced the judge misunderstood a key piece of evidence. The defendant now wishes to pursue an appeal on the facts.</w:t>
        <w:br w:type="textWrapping"/>
        <w:t xml:space="preserve">What is the correct next step for the defendant?</w:t>
        <w:br w:type="textWrapping"/>
        <w:t xml:space="preserve">A. Apply for permission to appeal to the Court of Appeal (Civil Division).</w:t>
        <w:br w:type="textWrapping"/>
        <w:t xml:space="preserve">B. Renew the application for permission to appeal to a Circuit Judge at the County Court.</w:t>
        <w:br w:type="textWrapping"/>
        <w:t xml:space="preserve">C. Apply to the King’s Bench Divisional Court for a judicial review of the County Court’s decision.</w:t>
        <w:br w:type="textWrapping"/>
        <w:t xml:space="preserve">D. File a notice of appeal as of right with the Civil Division of the Court of Appeal, as the sum exceeds £25,000.</w:t>
        <w:br w:type="textWrapping"/>
        <w:t xml:space="preserve">E. Apply to a High Court Judge sitting in the High Court for permission to appeal.</w:t>
        <w:br w:type="textWrapping"/>
        <w:t xml:space="preserve">The correct option is A</w:t>
        <w:br w:type="textWrapping"/>
        <w:t xml:space="preserve">Explanation</w:t>
        <w:br w:type="textWrapping"/>
        <w:t xml:space="preserve">Option A is correct. The procedure for appeals from the County Court is governed by the Civil Procedure Rules (CPR Part 52). Where permission to appeal is required (as it almost always is) and is refused by the lower court, the applicant must apply for permission to the appeal court itself. For a final decision in a multi-track claim (likely for £30,000), the appeal court is the Court of Appeal (Civil Division). The defendant must file an appellant’s notice at the Court of Appeal seeking permission.</w:t>
        <w:br w:type="textWrapping"/>
        <w:t xml:space="preserve">Option B is incorrect. One cannot renew an application for permission to the same level of judge within the County Court. The route is to the appeal court.</w:t>
        <w:br w:type="textWrapping"/>
        <w:t xml:space="preserve">Option C is incorrect. Judicial review is a procedure for challenging the lawfulness of decisions of public bodies. It is not the correct route for challenging the merits of a decision by a court in private litigation; the appellate system is the correct route.</w:t>
        <w:br w:type="textWrapping"/>
        <w:t xml:space="preserve">Option D is incorrect. There is no general right of appeal based on the value of the claim. Permission is almost always required for civil appeals.</w:t>
        <w:br w:type="textWrapping"/>
        <w:t xml:space="preserve">Option E is incorrect. Appeals from the County Court do not go to the High Court (except for some specialist paths, e.g., from the Family Court). The normal route for a multi-track civil money claim is to the Court of Appeal.</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High Court judge, sitting as a judge of the King’s Bench Division, is hearing a judicial review of a decision by a local authority. During the hearing, the judge makes several comments from the bench that are widely perceived as showing overt political sympathy for the policy aims of the national government, which is of the same party that promoted the policy under review. The judge’s comments are reported in the legal press. The defendant local authority, while not alleging actual bias, is concerned about the appearance of bias and the public's perception of the judge's impartiality.</w:t>
        <w:br w:type="textWrapping"/>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appropriate initial course of action for the local authority's legal team?</w:t>
        <w:br w:type="textWrapping"/>
        <w:t xml:space="preserve">A. Make an immediate application to the Lord Chancellor to have the judge removed from the case.</w:t>
        <w:br w:type="textWrapping"/>
        <w:t xml:space="preserve">B. Wait until judgment is delivered and, if it is unfavourable, include the judge's comments as a ground of appeal.</w:t>
        <w:br w:type="textWrapping"/>
        <w:t xml:space="preserve">C. Make an application to the judge during the hearing, asking them to recuse themselves from the case.</w:t>
        <w:br w:type="textWrapping"/>
        <w:t xml:space="preserve">D. Report the judge’s conduct to the Judicial Conduct Investigations Office (JCIO) for disciplinary action.</w:t>
        <w:br w:type="textWrapping"/>
        <w:t xml:space="preserve">E. Write to the Lord Chief Justice to request the case be re-allocated to another judge.</w:t>
        <w:br w:type="textWrapping"/>
        <w:t xml:space="preserve">The correct option is C</w:t>
        <w:br w:type="textWrapping"/>
        <w:t xml:space="preserve">Explanation</w:t>
        <w:br w:type="textWrapping"/>
        <w:t xml:space="preserve">Option C is correct. The principle of judicial impartiality is fundamental. If a party has a reasonable apprehension of bias (the fair-minded observer test from </w:t>
      </w:r>
      <w:r w:rsidDel="00000000" w:rsidR="00000000" w:rsidRPr="00000000">
        <w:rPr>
          <w:rFonts w:ascii="Roboto" w:cs="Roboto" w:eastAsia="Roboto" w:hAnsi="Roboto"/>
          <w:i w:val="1"/>
          <w:iCs w:val="1"/>
          <w:color w:val="0f1115"/>
          <w:sz w:val="24"/>
          <w:szCs w:val="24"/>
          <w:rtl w:val="0"/>
        </w:rPr>
        <w:t xml:space="preserve">Porter v Magill</w:t>
      </w:r>
      <w:r w:rsidDel="00000000" w:rsidR="00000000" w:rsidRPr="00000000">
        <w:rPr>
          <w:rFonts w:ascii="Roboto" w:cs="Roboto" w:eastAsia="Roboto" w:hAnsi="Roboto"/>
          <w:color w:val="0f1115"/>
          <w:sz w:val="24"/>
          <w:szCs w:val="24"/>
          <w:rtl w:val="0"/>
        </w:rPr>
        <w:t xml:space="preserve">), the proper procedure is to make an application to the judge themselves to recuse (withdraw from) the case. This allows the judge to consider the objection, provide reasons, and if appropriate, step down. This should be done promptly, not after judgment.</w:t>
        <w:br w:type="textWrapping"/>
        <w:t xml:space="preserve">Option A is incorrect. The Lord Chancellor, as a government minister, has no power to remove a judge from a specific case. This would be a grave infringement of judicial independence. The Lord Chancellor's role in discipline is separate and follows an investigation.</w:t>
        <w:br w:type="textWrapping"/>
        <w:t xml:space="preserve">Option B is incorrect. By continuing with the hearing without objection, the local authority might be taken to have waived its right to complain. It is procedurally correct to raise the issue at the earliest opportunity.</w:t>
        <w:br w:type="textWrapping"/>
        <w:t xml:space="preserve">Option D is incorrect. The JCIO deals with disciplinary matters for misconduct. An application for recusal is a procedural matter within the case, not primarily a disciplinary one. A complaint might be made later if misconduct is alleged, but the immediate procedural step is to address the judge.</w:t>
        <w:br w:type="textWrapping"/>
        <w:t xml:space="preserve">Option E is incorrect. While the Lord Chief Justice has overall responsibility for judicial deployment, the proper channel is an application to the judge seized of the case. Bypassing the judge would be irregular.</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claim is issued in the County Court for breach of contract concerning the sale of goods, with a value of £75,000. The defendant believes the case is too complex for the County Court and wishes to have it heard in the High Court. The claimant opposes this.</w:t>
        <w:br w:type="textWrapping"/>
        <w:t xml:space="preserve">Which of the following best describes the relevant criteria and process for determining the appropriate track and court for this claim?</w:t>
        <w:br w:type="textWrapping"/>
        <w:t xml:space="preserve">A. The claim must be heard in the High Court because the financial value exceeds the County Court limit of £50,000.</w:t>
        <w:br w:type="textWrapping"/>
        <w:t xml:space="preserve">B. The claim will be allocated to the County Court Multi-track, as all contract claims over £25,000 must start there under the Civil Procedure Rules.</w:t>
        <w:br w:type="textWrapping"/>
        <w:t xml:space="preserve">C. The court will consider the financial value, the complexity of the facts and law, and the importance of the outcome to the public, and may allocate it to the High Court.</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The defendant has an absolute right to elect for trial in the High Court if the claim exceeds £50,000, upon payment of a fee.</w:t>
        <w:br w:type="textWrapping"/>
        <w:t xml:space="preserve">E. The matter is solely for the claimant's discretion, as they are the party who issued the claim and chose the court.</w:t>
        <w:br w:type="textWrapping"/>
        <w:t xml:space="preserve">The correct option is C</w:t>
        <w:br w:type="textWrapping"/>
        <w:t xml:space="preserve">Explanation</w:t>
        <w:br w:type="textWrapping"/>
        <w:t xml:space="preserve">Option C is correct. The allocation of civil cases between the County Court and High Court is governed by the Civil Procedure Rules and Practice Directions. PD 7A specifies that a claim should be started in the High Court only if the financial value is over £100,000, or if it is of lower value but is required by statute, involves specialist High Court work, or is of significant public importance. For a £75,000 claim, it would normally start in the County Court, but the defendant can apply to transfer it to the High Court under CPR Part 30. The court will consider the criteria in PD 30, including complexity, public importance, and the facilities at the trial court.</w:t>
        <w:br w:type="textWrapping"/>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general monetary threshold for starting a claim in the High Court is £100,000, not £50,000.</w:t>
        <w:br w:type="textWrapping"/>
        <w:t xml:space="preserve">Option B is incorrect. While the claim would likely be allocated to the Multi-track in the County Court, it is not "must." Transfer to the High Court is possible.</w:t>
        <w:br w:type="textWrapping"/>
        <w:t xml:space="preserve">Option D is incorrect. There is no absolute right to elect for the High Court. It is a matter for the court's discretion based on the stated criteria.</w:t>
        <w:br w:type="textWrapping"/>
        <w:t xml:space="preserve">Option E is incorrect. While the claimant has initial choice, the defendant can apply to transfer, and the court has the power to transfer on its own initiative.</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legal executive, who is a Fellow of the Chartered Institute of Legal Executives (CILEx) and holds a practising certificate as a Chartered Legal Advocate, is instructed to represent a client at a sentencing hearing in the Crown Court. The client has pleaded guilty. The legal executive has extensive experience in criminal litigation but has never spoken in the Crown Court before.</w:t>
        <w:br w:type="textWrapping"/>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accurate regarding their right of audience at this hearing?</w:t>
        <w:br w:type="textWrapping"/>
        <w:t xml:space="preserve">A. They have no right of audience in the Crown Court, as it is reserved for barristers and solicitor-advocates.</w:t>
        <w:br w:type="textWrapping"/>
        <w:t xml:space="preserve">B. They have a right of audience only if they are instructed by a solicitor who is also present in court.</w:t>
        <w:br w:type="textWrapping"/>
        <w:t xml:space="preserve">C. They have a right of audience for sentencing hearings in the Crown Court, provided they are properly instructed and it is within their litigation rights.</w:t>
        <w:br w:type="textWrapping"/>
        <w:t xml:space="preserve">D. They must apply to the judge for special ad hoc admission to speak at this hearing.</w:t>
        <w:br w:type="textWrapping"/>
        <w:t xml:space="preserve">E. They have a right of audience only in the Magistrates' Court; for the Crown Court, they must instruct a barrister.</w:t>
        <w:br w:type="textWrapping"/>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Chartered Legal Executives who are Fellows of CILEx and have obtained the relevant advocacy qualification (and hold a practising certificate) have regulated rights of audience. These rights are granted by the Legal Services Act 2007 and are defined by their approved regulator (CILEx Regulation). For those with full criminal advocacy qualifications, this includes the right to appear in the Crown Court for specific types of hearings, which typically include sentencing hearings following a guilty plea.</w:t>
        <w:br w:type="textWrapping"/>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monopoly of the Bar has been abolished. Other legally qualified persons, including Chartered Legal Advocates, can acquire rights of audience.</w:t>
        <w:br w:type="textWrapping"/>
        <w:t xml:space="preserve">Option B is incorrect. A Chartered Legal Advocate with the correct qualification can be instructed directly and can appear alone, analogous to a solicitor-advocate.</w:t>
        <w:br w:type="textWrapping"/>
        <w:t xml:space="preserve">Option D is incorrect. Ad hoc admission is a separate process for lawyers from other jurisdictions. A Chartered Legal Advocate with a practising certificate does not need special admission for each case; they have a permanent right.</w:t>
        <w:br w:type="textWrapping"/>
        <w:t xml:space="preserve">Option E is incorrect. Chartered Legal Advocates can acquire rights for higher courts, not just the Magistrates' Court.</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02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case involving a novel point of European Union law (retained under the UK European Union (Withdrawal) Act 2018) is decided by the Upper Tribunal (Tax and Chancery Chamber). The losing party wishes to appeal. They believe the point of law is of great importance to the tax industry and should be considered by the highest court.</w:t>
        <w:br w:type="textWrapping"/>
      </w:r>
    </w:p>
    <w:p w:rsidR="00000000" w:rsidDel="00000000" w:rsidP="00000000" w:rsidRDefault="00000000" w:rsidRPr="00000000" w14:paraId="0000002C">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route for an appeal from the Upper Tribunal to the Supreme Court?</w:t>
        <w:br w:type="textWrapping"/>
        <w:t xml:space="preserve">A. Directly from the Upper Tribunal to the Supreme Court with permission from the Supreme Court.</w:t>
        <w:br w:type="textWrapping"/>
        <w:t xml:space="preserve">B. From the Upper Tribunal to the Court of Appeal (Civil Division), and then with permission to the Supreme Court.</w:t>
        <w:br w:type="textWrapping"/>
        <w:t xml:space="preserve">C. From the Upper Tribunal to the King’s Bench Divisional Court, and then by leapfrog to the Supreme Court.</w:t>
        <w:br w:type="textWrapping"/>
        <w:t xml:space="preserve">D. Directly from the Upper Tribunal to the Supreme Court if the Upper Tribunal grants a certificate of importance.</w:t>
        <w:br w:type="textWrapping"/>
        <w:t xml:space="preserve">E. There is no appeal from the Upper Tribunal on a point of retained EU law; its decision is final.</w:t>
        <w:br w:type="textWrapping"/>
        <w:t xml:space="preserve">The correct option is B</w:t>
        <w:br w:type="textWrapping"/>
        <w:t xml:space="preserve">Explanation</w:t>
        <w:br w:type="textWrapping"/>
        <w:t xml:space="preserve">Option B is correct. The general route for appeals from the Upper Tribunal is governed by the Tribunal, Courts and Enforcement Act 2007. An appeal lies to the Court of Appeal (Civil Division), with permission from the Upper Tribunal or the Court of Appeal (s.13). From the Court of Appeal, a further appeal lies to the Supreme Court with permission. There is no general direct leapfrog appeal from the Upper Tribunal to the Supreme Court. The Supreme Court can only hear appeals from the Court of Appeal or, in exceptional cases, via the "leapfrog" procedure from the High Court (not the Upper Tribunal) under the Administration of Justice Act 1969.</w:t>
        <w:br w:type="textWrapping"/>
      </w:r>
    </w:p>
    <w:p w:rsidR="00000000" w:rsidDel="00000000" w:rsidP="00000000" w:rsidRDefault="00000000" w:rsidRPr="00000000" w14:paraId="0000002D">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There is no statutory direct route.</w:t>
        <w:br w:type="textWrapping"/>
        <w:t xml:space="preserve">Option C is incorrect. Appeals from the Upper Tribunal do not go to the Divisional Court. The Divisional Court hears appeals on points of law from certain first-tier tribunals (by way of judicial review), not from the Upper Tribunal.</w:t>
        <w:br w:type="textWrapping"/>
        <w:t xml:space="preserve">Option D is incorrect. While some specialist tribunals historically used a "certificate of importance" for direct appeal to the Court of Appeal, this does not apply to the Supreme Court and is not the standard route from the Upper Tribunal.</w:t>
        <w:br w:type="textWrapping"/>
        <w:t xml:space="preserve">Option E is incorrect. The Upper Tribunal's decisions are subject to appeal on points of law. Retained EU law does not change this appellate structure.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rtl w:val="0"/>
        </w:rPr>
      </w:r>
    </w:p>
    <w:p w:rsidR="00000000" w:rsidDel="00000000" w:rsidP="00000000" w:rsidRDefault="00000000" w:rsidRPr="00000000" w14:paraId="00000030">
      <w:pPr>
        <w:rPr>
          <w:color w:val="ff0000"/>
          <w:sz w:val="24"/>
          <w:szCs w:val="24"/>
        </w:rPr>
      </w:pPr>
      <w:r w:rsidDel="00000000" w:rsidR="00000000" w:rsidRPr="00000000">
        <w:rPr>
          <w:color w:val="ff0000"/>
          <w:rtl w:val="0"/>
        </w:rPr>
        <w:t xml:space="preserve">B.</w:t>
      </w:r>
      <w:r w:rsidDel="00000000" w:rsidR="00000000" w:rsidRPr="00000000">
        <w:rPr>
          <w:color w:val="ff0000"/>
          <w:sz w:val="24"/>
          <w:szCs w:val="24"/>
          <w:rtl w:val="0"/>
        </w:rPr>
        <w:t xml:space="preserve">Development of case law: the doctrine of precedent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Question 1</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2020, the Court of Appeal (Civil Division), in the case of Green v Shield Insurance Co, established a principle of law regarding the duty of an insurance broker to explain policy exclusions to a commercially sophisticated client. The decision was made by a panel of two Lords Justices of Appeal and one Senior Circuit Judge sitting as a judge of the Court of Appeal. In 2024, a virtually identical case, Brown v Safeguard Brokers Ltd, comes before a differently constituted Court of Appeal. Counsel for Brown argues that the court is bound to follow the principle in Green.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Which of the following is the most accurate statement regarding the binding force of the Green decision?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It is not binding because it was not decided by the Supreme Court and therefore lacks sufficient authority.</w:t>
      </w:r>
    </w:p>
    <w:p w:rsidR="00000000" w:rsidDel="00000000" w:rsidP="00000000" w:rsidRDefault="00000000" w:rsidRPr="00000000" w14:paraId="00000039">
      <w:pPr>
        <w:rPr/>
      </w:pPr>
      <w:r w:rsidDel="00000000" w:rsidR="00000000" w:rsidRPr="00000000">
        <w:rPr>
          <w:rtl w:val="0"/>
        </w:rPr>
        <w:t xml:space="preserve">B. It is binding because the Court of Appeal is bound by its own previous decisions, subject to limited exceptions.</w:t>
      </w:r>
    </w:p>
    <w:p w:rsidR="00000000" w:rsidDel="00000000" w:rsidP="00000000" w:rsidRDefault="00000000" w:rsidRPr="00000000" w14:paraId="0000003A">
      <w:pPr>
        <w:rPr/>
      </w:pPr>
      <w:r w:rsidDel="00000000" w:rsidR="00000000" w:rsidRPr="00000000">
        <w:rPr>
          <w:rtl w:val="0"/>
        </w:rPr>
        <w:t xml:space="preserve">C. It is only binding if the judge in the later case agrees with the reasoning in Green.</w:t>
      </w:r>
    </w:p>
    <w:p w:rsidR="00000000" w:rsidDel="00000000" w:rsidP="00000000" w:rsidRDefault="00000000" w:rsidRPr="00000000" w14:paraId="0000003B">
      <w:pPr>
        <w:rPr/>
      </w:pPr>
      <w:r w:rsidDel="00000000" w:rsidR="00000000" w:rsidRPr="00000000">
        <w:rPr>
          <w:rtl w:val="0"/>
        </w:rPr>
        <w:t xml:space="preserve">D. It is not binding because one member of the panel was not a Lord Justice of Appeal, rendering the decision a nullity.</w:t>
      </w:r>
    </w:p>
    <w:p w:rsidR="00000000" w:rsidDel="00000000" w:rsidP="00000000" w:rsidRDefault="00000000" w:rsidRPr="00000000" w14:paraId="0000003C">
      <w:pPr>
        <w:rPr/>
      </w:pPr>
      <w:r w:rsidDel="00000000" w:rsidR="00000000" w:rsidRPr="00000000">
        <w:rPr>
          <w:rtl w:val="0"/>
        </w:rPr>
        <w:t xml:space="preserve">E. It is only persuasive, as all Court of Appeal decisions are merely guidance for lower courts.</w:t>
      </w:r>
    </w:p>
    <w:p w:rsidR="00000000" w:rsidDel="00000000" w:rsidP="00000000" w:rsidRDefault="00000000" w:rsidRPr="00000000" w14:paraId="0000003D">
      <w:pPr>
        <w:rPr/>
      </w:pPr>
      <w:r w:rsidDel="00000000" w:rsidR="00000000" w:rsidRPr="00000000">
        <w:rPr>
          <w:rtl w:val="0"/>
        </w:rPr>
        <w:t xml:space="preserve">The correct option is B</w:t>
      </w:r>
    </w:p>
    <w:p w:rsidR="00000000" w:rsidDel="00000000" w:rsidP="00000000" w:rsidRDefault="00000000" w:rsidRPr="00000000" w14:paraId="0000003E">
      <w:pPr>
        <w:rPr/>
      </w:pPr>
      <w:r w:rsidDel="00000000" w:rsidR="00000000" w:rsidRPr="00000000">
        <w:rPr>
          <w:rtl w:val="0"/>
        </w:rPr>
        <w:t xml:space="preserve">Explanation</w:t>
      </w:r>
    </w:p>
    <w:p w:rsidR="00000000" w:rsidDel="00000000" w:rsidP="00000000" w:rsidRDefault="00000000" w:rsidRPr="00000000" w14:paraId="0000003F">
      <w:pPr>
        <w:rPr/>
      </w:pPr>
      <w:r w:rsidDel="00000000" w:rsidR="00000000" w:rsidRPr="00000000">
        <w:rPr>
          <w:rtl w:val="0"/>
        </w:rPr>
        <w:t xml:space="preserve">Option B is correct. The Court of Appeal (Civil Division) is generally bound by its own previous decisions, as established in Young v Bristol Aeroplane Co Ltd. The exceptions include: where there are two conflicting decisions, where a decision is made per incuriam (in ignorance of a relevant law), and where a decision is inconsistent with a later Supreme Court (or House of Lords) decision. The composition of the panel (including a Senior Circuit Judge sitting by invitation) does not affect the status of the decision as a binding Court of Appeal authority.</w:t>
      </w:r>
    </w:p>
    <w:p w:rsidR="00000000" w:rsidDel="00000000" w:rsidP="00000000" w:rsidRDefault="00000000" w:rsidRPr="00000000" w14:paraId="00000040">
      <w:pPr>
        <w:rPr/>
      </w:pPr>
      <w:r w:rsidDel="00000000" w:rsidR="00000000" w:rsidRPr="00000000">
        <w:rPr>
          <w:rtl w:val="0"/>
        </w:rPr>
        <w:t xml:space="preserve">Option A is incorrect. The Court of Appeal is a senior court whose decisions are binding on itself and all lower courts, not just those of the Supreme Court.</w:t>
      </w:r>
    </w:p>
    <w:p w:rsidR="00000000" w:rsidDel="00000000" w:rsidP="00000000" w:rsidRDefault="00000000" w:rsidRPr="00000000" w14:paraId="00000041">
      <w:pPr>
        <w:rPr/>
      </w:pPr>
      <w:r w:rsidDel="00000000" w:rsidR="00000000" w:rsidRPr="00000000">
        <w:rPr>
          <w:rtl w:val="0"/>
        </w:rPr>
        <w:t xml:space="preserve">Option C is incorrect. The doctrine of precedent operates regardless of a later judge's personal agreement with the reasoning. The rule is one of law, not discretion.</w:t>
      </w:r>
    </w:p>
    <w:p w:rsidR="00000000" w:rsidDel="00000000" w:rsidP="00000000" w:rsidRDefault="00000000" w:rsidRPr="00000000" w14:paraId="00000042">
      <w:pPr>
        <w:rPr/>
      </w:pPr>
      <w:r w:rsidDel="00000000" w:rsidR="00000000" w:rsidRPr="00000000">
        <w:rPr>
          <w:rtl w:val="0"/>
        </w:rPr>
        <w:t xml:space="preserve">Option D is incorrect. A Senior Circuit Judge duly appointed to sit in the Court of Appeal has the same authority as a Lord Justice for the purposes of that case. The decision is valid and binding.</w:t>
      </w:r>
    </w:p>
    <w:p w:rsidR="00000000" w:rsidDel="00000000" w:rsidP="00000000" w:rsidRDefault="00000000" w:rsidRPr="00000000" w14:paraId="00000043">
      <w:pPr>
        <w:rPr/>
      </w:pPr>
      <w:r w:rsidDel="00000000" w:rsidR="00000000" w:rsidRPr="00000000">
        <w:rPr>
          <w:rtl w:val="0"/>
        </w:rPr>
        <w:t xml:space="preserve">Option E is incorrect. Court of Appeal decisions are binding precedent, not merely persuasive.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Question 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Supreme Court, in the 2022 case of Re Healthcare Ltd, laid down a broad principle regarding the fiduciary duties of directors of companies in financial difficulty. The principle was central to the court's decision. In 2025, the Court of Appeal hears the case of MediAid Ltd v Directors. The legal and factual context is very similar to Re Healthcare Ltd, but counsel for the directors argues that the Supreme Court's principle was expressed too widely and that its application to their specific facts would produce an unjust result. They urge the Court of Appeal to distinguish the precedent.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is the correct approach the Court of Appeal must take?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It must apply the principle from Re Healthcare Ltd directly, as it is bound by Supreme Court decisions.</w:t>
      </w:r>
    </w:p>
    <w:p w:rsidR="00000000" w:rsidDel="00000000" w:rsidP="00000000" w:rsidRDefault="00000000" w:rsidRPr="00000000" w14:paraId="0000004C">
      <w:pPr>
        <w:rPr/>
      </w:pPr>
      <w:r w:rsidDel="00000000" w:rsidR="00000000" w:rsidRPr="00000000">
        <w:rPr>
          <w:rtl w:val="0"/>
        </w:rPr>
        <w:t xml:space="preserve">B. It can refuse to follow Re Healthcare Ltd if it believes the Supreme Court's reasoning was flawed.</w:t>
      </w:r>
    </w:p>
    <w:p w:rsidR="00000000" w:rsidDel="00000000" w:rsidP="00000000" w:rsidRDefault="00000000" w:rsidRPr="00000000" w14:paraId="0000004D">
      <w:pPr>
        <w:rPr/>
      </w:pPr>
      <w:r w:rsidDel="00000000" w:rsidR="00000000" w:rsidRPr="00000000">
        <w:rPr>
          <w:rtl w:val="0"/>
        </w:rPr>
        <w:t xml:space="preserve">C. It can distinguish Re Healthcare Ltd if it can find a material difference in the facts or the legal issues involved.</w:t>
      </w:r>
    </w:p>
    <w:p w:rsidR="00000000" w:rsidDel="00000000" w:rsidP="00000000" w:rsidRDefault="00000000" w:rsidRPr="00000000" w14:paraId="0000004E">
      <w:pPr>
        <w:rPr/>
      </w:pPr>
      <w:r w:rsidDel="00000000" w:rsidR="00000000" w:rsidRPr="00000000">
        <w:rPr>
          <w:rtl w:val="0"/>
        </w:rPr>
        <w:t xml:space="preserve">D. It must refer the case to the Supreme Court for clarification, as only that court can refine its own principles.</w:t>
      </w:r>
    </w:p>
    <w:p w:rsidR="00000000" w:rsidDel="00000000" w:rsidP="00000000" w:rsidRDefault="00000000" w:rsidRPr="00000000" w14:paraId="0000004F">
      <w:pPr>
        <w:rPr/>
      </w:pPr>
      <w:r w:rsidDel="00000000" w:rsidR="00000000" w:rsidRPr="00000000">
        <w:rPr>
          <w:rtl w:val="0"/>
        </w:rPr>
        <w:t xml:space="preserve">E. It can decline to follow the precedent because the Supreme Court's decision is only persuasive for future cases.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correct option is C</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Explanation</w:t>
      </w:r>
    </w:p>
    <w:p w:rsidR="00000000" w:rsidDel="00000000" w:rsidP="00000000" w:rsidRDefault="00000000" w:rsidRPr="00000000" w14:paraId="00000054">
      <w:pPr>
        <w:rPr/>
      </w:pPr>
      <w:r w:rsidDel="00000000" w:rsidR="00000000" w:rsidRPr="00000000">
        <w:rPr>
          <w:rtl w:val="0"/>
        </w:rPr>
        <w:t xml:space="preserve">Option C is correct. Lower courts are bound by the ratio decidendi of higher court decisions. However, a fundamental judicial technique within the doctrine of precedent is "distinguishing." A lower court can avoid applying a precedent if it can identify a material factual or legal distinction between the earlier case and the case before it, which justifies a different outcome. The Court of Appeal is bound by the Supreme Court's decision but is entitled and expected to analyse whether the principle applies to the materially different circumstances of the instant case.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Option A is incorrect. While bound, courts are not required to apply precedents mechanistically where there is a genuine, material distinction.</w:t>
      </w:r>
    </w:p>
    <w:p w:rsidR="00000000" w:rsidDel="00000000" w:rsidP="00000000" w:rsidRDefault="00000000" w:rsidRPr="00000000" w14:paraId="00000057">
      <w:pPr>
        <w:rPr/>
      </w:pPr>
      <w:r w:rsidDel="00000000" w:rsidR="00000000" w:rsidRPr="00000000">
        <w:rPr>
          <w:rtl w:val="0"/>
        </w:rPr>
        <w:t xml:space="preserve">Option B is incorrect. A lower court cannot refuse to follow a binding precedent simply because it disagrees with the reasoning. That would undermine the doctrine. Perceived flaws are not a recognised exception.</w:t>
      </w:r>
    </w:p>
    <w:p w:rsidR="00000000" w:rsidDel="00000000" w:rsidP="00000000" w:rsidRDefault="00000000" w:rsidRPr="00000000" w14:paraId="00000058">
      <w:pPr>
        <w:rPr/>
      </w:pPr>
      <w:r w:rsidDel="00000000" w:rsidR="00000000" w:rsidRPr="00000000">
        <w:rPr>
          <w:rtl w:val="0"/>
        </w:rPr>
        <w:t xml:space="preserve">Option D is incorrect. There is no obligation to refer a case back to the Supreme Court. It is the duty of the lower court to interpret and apply existing precedents.</w:t>
      </w:r>
    </w:p>
    <w:p w:rsidR="00000000" w:rsidDel="00000000" w:rsidP="00000000" w:rsidRDefault="00000000" w:rsidRPr="00000000" w14:paraId="00000059">
      <w:pPr>
        <w:rPr/>
      </w:pPr>
      <w:r w:rsidDel="00000000" w:rsidR="00000000" w:rsidRPr="00000000">
        <w:rPr>
          <w:rtl w:val="0"/>
        </w:rPr>
        <w:t xml:space="preserve">Option E is incorrect. Supreme Court decisions are binding on all lower courts, not merely persuasive.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Question 3</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 the 1998 case of Oldbury v Oldbury, the House of Lords decided a point of family law regarding the financial provision for adult children. The decision was by a 3-2 majority, with strong dissenting judgments. In 2010, the Supreme Court, in a different case, made obiter comments that were critical of the reasoning in Oldbury but did not expressly overrule it. In 2024, a case raising the same point as Oldbury comes before the High Court (Family Division).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How should the High Court judge treat the precedent set by Oldbury v Oldbury?</w:t>
      </w:r>
    </w:p>
    <w:p w:rsidR="00000000" w:rsidDel="00000000" w:rsidP="00000000" w:rsidRDefault="00000000" w:rsidRPr="00000000" w14:paraId="00000060">
      <w:pPr>
        <w:rPr/>
      </w:pPr>
      <w:r w:rsidDel="00000000" w:rsidR="00000000" w:rsidRPr="00000000">
        <w:rPr>
          <w:rtl w:val="0"/>
        </w:rPr>
        <w:t xml:space="preserve">A. The judge is free to disregard it because it is an old decision that has been criticised by the Supreme Court.</w:t>
      </w:r>
    </w:p>
    <w:p w:rsidR="00000000" w:rsidDel="00000000" w:rsidP="00000000" w:rsidRDefault="00000000" w:rsidRPr="00000000" w14:paraId="00000061">
      <w:pPr>
        <w:rPr/>
      </w:pPr>
      <w:r w:rsidDel="00000000" w:rsidR="00000000" w:rsidRPr="00000000">
        <w:rPr>
          <w:rtl w:val="0"/>
        </w:rPr>
        <w:t xml:space="preserve">B. The judge is bound by the decision unless and until it is overruled by the Supreme Court or Parliament.</w:t>
      </w:r>
    </w:p>
    <w:p w:rsidR="00000000" w:rsidDel="00000000" w:rsidP="00000000" w:rsidRDefault="00000000" w:rsidRPr="00000000" w14:paraId="00000062">
      <w:pPr>
        <w:rPr/>
      </w:pPr>
      <w:r w:rsidDel="00000000" w:rsidR="00000000" w:rsidRPr="00000000">
        <w:rPr>
          <w:rtl w:val="0"/>
        </w:rPr>
        <w:t xml:space="preserve">C. The judge must follow the obiter comments of the 2010 Supreme Court instead, as they represent the more recent thinking of the highest court.</w:t>
      </w:r>
    </w:p>
    <w:p w:rsidR="00000000" w:rsidDel="00000000" w:rsidP="00000000" w:rsidRDefault="00000000" w:rsidRPr="00000000" w14:paraId="00000063">
      <w:pPr>
        <w:rPr/>
      </w:pPr>
      <w:r w:rsidDel="00000000" w:rsidR="00000000" w:rsidRPr="00000000">
        <w:rPr>
          <w:rtl w:val="0"/>
        </w:rPr>
        <w:t xml:space="preserve">D. The judge should apply the decision but can use the 1966 Practice Statement to depart from it because it is a House of Lords decision.</w:t>
      </w:r>
    </w:p>
    <w:p w:rsidR="00000000" w:rsidDel="00000000" w:rsidP="00000000" w:rsidRDefault="00000000" w:rsidRPr="00000000" w14:paraId="00000064">
      <w:pPr>
        <w:rPr/>
      </w:pPr>
      <w:r w:rsidDel="00000000" w:rsidR="00000000" w:rsidRPr="00000000">
        <w:rPr>
          <w:rtl w:val="0"/>
        </w:rPr>
        <w:t xml:space="preserve">E. The judge is not bound because the decision was only by a majority, and dissenting judgments weaken its authority.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correct option is B</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Explanation</w:t>
      </w:r>
    </w:p>
    <w:p w:rsidR="00000000" w:rsidDel="00000000" w:rsidP="00000000" w:rsidRDefault="00000000" w:rsidRPr="00000000" w14:paraId="00000069">
      <w:pPr>
        <w:rPr/>
      </w:pPr>
      <w:r w:rsidDel="00000000" w:rsidR="00000000" w:rsidRPr="00000000">
        <w:rPr>
          <w:rtl w:val="0"/>
        </w:rPr>
        <w:t xml:space="preserve">Option B is correct. The House of Lords was the highest court until 2009. Its decisions remain binding on all lower courts, including the High Court, unless they have been expressly overruled by the Supreme Court (or, in rare cases, by the Supreme Court using the 1966 Practice Statement). Critical obiter comments from a later Supreme Court case do not amount to overruling. The doctrine of precedent requires lower courts to follow binding authority, even if it is old or criticised.</w:t>
      </w:r>
    </w:p>
    <w:p w:rsidR="00000000" w:rsidDel="00000000" w:rsidP="00000000" w:rsidRDefault="00000000" w:rsidRPr="00000000" w14:paraId="0000006A">
      <w:pPr>
        <w:rPr/>
      </w:pPr>
      <w:r w:rsidDel="00000000" w:rsidR="00000000" w:rsidRPr="00000000">
        <w:rPr>
          <w:rtl w:val="0"/>
        </w:rPr>
        <w:t xml:space="preserve">Option A is incorrect. Age and criticism do not relieve a lower court of its duty to follow binding precedent.</w:t>
      </w:r>
    </w:p>
    <w:p w:rsidR="00000000" w:rsidDel="00000000" w:rsidP="00000000" w:rsidRDefault="00000000" w:rsidRPr="00000000" w14:paraId="0000006B">
      <w:pPr>
        <w:rPr/>
      </w:pPr>
      <w:r w:rsidDel="00000000" w:rsidR="00000000" w:rsidRPr="00000000">
        <w:rPr>
          <w:rtl w:val="0"/>
        </w:rPr>
        <w:t xml:space="preserve">Option C is incorrect. Obiter dicta are not binding, even from the Supreme Court. Only the ratio decidendi of the House of Lords decision is binding.</w:t>
      </w:r>
    </w:p>
    <w:p w:rsidR="00000000" w:rsidDel="00000000" w:rsidP="00000000" w:rsidRDefault="00000000" w:rsidRPr="00000000" w14:paraId="0000006C">
      <w:pPr>
        <w:rPr/>
      </w:pPr>
      <w:r w:rsidDel="00000000" w:rsidR="00000000" w:rsidRPr="00000000">
        <w:rPr>
          <w:rtl w:val="0"/>
        </w:rPr>
        <w:t xml:space="preserve">Option D is incorrect. The 1966 Practice Statement (which allowed the House of Lords/Supreme Court to depart from its own previous decisions) is a power exercisable only by the Supreme Court itself, not by lower courts.</w:t>
      </w:r>
    </w:p>
    <w:p w:rsidR="00000000" w:rsidDel="00000000" w:rsidP="00000000" w:rsidRDefault="00000000" w:rsidRPr="00000000" w14:paraId="0000006D">
      <w:pPr>
        <w:rPr/>
      </w:pPr>
      <w:r w:rsidDel="00000000" w:rsidR="00000000" w:rsidRPr="00000000">
        <w:rPr>
          <w:rtl w:val="0"/>
        </w:rPr>
        <w:t xml:space="preserve">Option E is incorrect. A majority decision of the House of Lords is just as binding as a unanimous one. Dissenting judgments do not affect the binding status of the majority ratio.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Question 4</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Privy Council, hearing an appeal from Bermuda, establishes a principle of law on equitable remedies in 2023. The Board consisted of five Justices of the Supreme Court. Later the same year, the Court of Appeal in England and Wales hears a case involving the same point of English equity law. The Court of Appeal has never decided the point itself.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What is the status of the Privy Council's decision in the English Court of Appeal?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It is binding, as the Privy Council is a superior court and its judges are Supreme Court Justices.</w:t>
      </w:r>
    </w:p>
    <w:p w:rsidR="00000000" w:rsidDel="00000000" w:rsidP="00000000" w:rsidRDefault="00000000" w:rsidRPr="00000000" w14:paraId="00000076">
      <w:pPr>
        <w:rPr/>
      </w:pPr>
      <w:r w:rsidDel="00000000" w:rsidR="00000000" w:rsidRPr="00000000">
        <w:rPr>
          <w:rtl w:val="0"/>
        </w:rPr>
        <w:t xml:space="preserve">B. It is not technically binding but will be treated as highly persuasive precedent.</w:t>
      </w:r>
    </w:p>
    <w:p w:rsidR="00000000" w:rsidDel="00000000" w:rsidP="00000000" w:rsidRDefault="00000000" w:rsidRPr="00000000" w14:paraId="00000077">
      <w:pPr>
        <w:rPr/>
      </w:pPr>
      <w:r w:rsidDel="00000000" w:rsidR="00000000" w:rsidRPr="00000000">
        <w:rPr>
          <w:rtl w:val="0"/>
        </w:rPr>
        <w:t xml:space="preserve">C. It has no relevance, as the Privy Council was applying Bermudan law, not English law.</w:t>
      </w:r>
    </w:p>
    <w:p w:rsidR="00000000" w:rsidDel="00000000" w:rsidP="00000000" w:rsidRDefault="00000000" w:rsidRPr="00000000" w14:paraId="00000078">
      <w:pPr>
        <w:rPr/>
      </w:pPr>
      <w:r w:rsidDel="00000000" w:rsidR="00000000" w:rsidRPr="00000000">
        <w:rPr>
          <w:rtl w:val="0"/>
        </w:rPr>
        <w:t xml:space="preserve">D. It is only binding if the Court of Appeal grants permission for it to be cited as an authority.</w:t>
      </w:r>
    </w:p>
    <w:p w:rsidR="00000000" w:rsidDel="00000000" w:rsidP="00000000" w:rsidRDefault="00000000" w:rsidRPr="00000000" w14:paraId="00000079">
      <w:pPr>
        <w:rPr/>
      </w:pPr>
      <w:r w:rsidDel="00000000" w:rsidR="00000000" w:rsidRPr="00000000">
        <w:rPr>
          <w:rtl w:val="0"/>
        </w:rPr>
        <w:t xml:space="preserve">E. It is binding because the Privy Council is part of the Supreme Court of the United Kingdom.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correct option is B</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Explanation</w:t>
      </w:r>
    </w:p>
    <w:p w:rsidR="00000000" w:rsidDel="00000000" w:rsidP="00000000" w:rsidRDefault="00000000" w:rsidRPr="00000000" w14:paraId="0000007E">
      <w:pPr>
        <w:rPr/>
      </w:pPr>
      <w:r w:rsidDel="00000000" w:rsidR="00000000" w:rsidRPr="00000000">
        <w:rPr>
          <w:rtl w:val="0"/>
        </w:rPr>
        <w:t xml:space="preserve">Option B is correct. Decisions of the Judicial Committee of the Privy Council (JCPC) are not technically binding on courts in England and Wales, as the JCPC is not part of the domestic court hierarchy (it primarily hears appeals from Commonwealth jurisdictions). However, given that its judges are usually Supreme Court Justices and it considers points of English common law, its decisions are regarded as being of the highest persuasive authority. In the absence of a binding domestic precedent, the Court of Appeal would likely follow it.</w:t>
      </w:r>
    </w:p>
    <w:p w:rsidR="00000000" w:rsidDel="00000000" w:rsidP="00000000" w:rsidRDefault="00000000" w:rsidRPr="00000000" w14:paraId="0000007F">
      <w:pPr>
        <w:rPr/>
      </w:pPr>
      <w:r w:rsidDel="00000000" w:rsidR="00000000" w:rsidRPr="00000000">
        <w:rPr>
          <w:rtl w:val="0"/>
        </w:rPr>
        <w:t xml:space="preserve">Option A is incorrect. The JCPC is not a superior court within the hierarchy of England and Wales. Its decisions are persuasive, not binding.</w:t>
      </w:r>
    </w:p>
    <w:p w:rsidR="00000000" w:rsidDel="00000000" w:rsidP="00000000" w:rsidRDefault="00000000" w:rsidRPr="00000000" w14:paraId="00000080">
      <w:pPr>
        <w:rPr/>
      </w:pPr>
      <w:r w:rsidDel="00000000" w:rsidR="00000000" w:rsidRPr="00000000">
        <w:rPr>
          <w:rtl w:val="0"/>
        </w:rPr>
        <w:t xml:space="preserve">Option C is incorrect. While applying local law, the JCPC often considers and pronounces on principles of English common law, which are highly relevant.</w:t>
      </w:r>
    </w:p>
    <w:p w:rsidR="00000000" w:rsidDel="00000000" w:rsidP="00000000" w:rsidRDefault="00000000" w:rsidRPr="00000000" w14:paraId="00000081">
      <w:pPr>
        <w:rPr/>
      </w:pPr>
      <w:r w:rsidDel="00000000" w:rsidR="00000000" w:rsidRPr="00000000">
        <w:rPr>
          <w:rtl w:val="0"/>
        </w:rPr>
        <w:t xml:space="preserve">Option D is incorrect. There is no permission requirement for citing authorities. The court decides what weight to give them.</w:t>
      </w:r>
    </w:p>
    <w:p w:rsidR="00000000" w:rsidDel="00000000" w:rsidP="00000000" w:rsidRDefault="00000000" w:rsidRPr="00000000" w14:paraId="00000082">
      <w:pPr>
        <w:rPr/>
      </w:pPr>
      <w:r w:rsidDel="00000000" w:rsidR="00000000" w:rsidRPr="00000000">
        <w:rPr>
          <w:rtl w:val="0"/>
        </w:rPr>
        <w:t xml:space="preserve">Option E is incorrect. The Privy Council is a separate institution from the Supreme Court, though they share judges.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Question 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 a 2015 criminal case, R v Dillon, the Court of Appeal (Criminal Division) interpreted a statutory provision in the Theft Act 1968. The interpretation was central to the conviction being upheld. In 2023, the Supreme Court, in R v Peterson (a case on a different statute), made obiter remarks stating that the Court of Appeal's approach in R v Dillon was "likely incorrect" and based on a "misreading of parliamentary intention." R v Peterson did not concern the Theft Act. A new case, R v Coleman, which turns on the exact same point as R v Dillon, is now before the Court of Appeal (Criminal Division).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What is the most likely effect of the Supreme Court's obiter remarks on the Court of Appeal in R v Coleman?</w:t>
      </w:r>
    </w:p>
    <w:p w:rsidR="00000000" w:rsidDel="00000000" w:rsidP="00000000" w:rsidRDefault="00000000" w:rsidRPr="00000000" w14:paraId="0000008A">
      <w:pPr>
        <w:rPr/>
      </w:pPr>
      <w:r w:rsidDel="00000000" w:rsidR="00000000" w:rsidRPr="00000000">
        <w:rPr>
          <w:rtl w:val="0"/>
        </w:rPr>
        <w:t xml:space="preserve">A. The Court of Appeal is now free to depart from R v Dillon because the Supreme Court has indicated it is wrong.</w:t>
      </w:r>
    </w:p>
    <w:p w:rsidR="00000000" w:rsidDel="00000000" w:rsidP="00000000" w:rsidRDefault="00000000" w:rsidRPr="00000000" w14:paraId="0000008B">
      <w:pPr>
        <w:rPr/>
      </w:pPr>
      <w:r w:rsidDel="00000000" w:rsidR="00000000" w:rsidRPr="00000000">
        <w:rPr>
          <w:rtl w:val="0"/>
        </w:rPr>
        <w:t xml:space="preserve">B. The Court of Appeal remains bound by R v Dillon and must follow it, as the Supreme Court's comments were obiter and not part of a decision on the same point.</w:t>
      </w:r>
    </w:p>
    <w:p w:rsidR="00000000" w:rsidDel="00000000" w:rsidP="00000000" w:rsidRDefault="00000000" w:rsidRPr="00000000" w14:paraId="0000008C">
      <w:pPr>
        <w:rPr/>
      </w:pPr>
      <w:r w:rsidDel="00000000" w:rsidR="00000000" w:rsidRPr="00000000">
        <w:rPr>
          <w:rtl w:val="0"/>
        </w:rPr>
        <w:t xml:space="preserve">C. The Court of Appeal must apply the Supreme Court's obiter remarks as if they were a binding decision, because they come from the highest court.</w:t>
      </w:r>
    </w:p>
    <w:p w:rsidR="00000000" w:rsidDel="00000000" w:rsidP="00000000" w:rsidRDefault="00000000" w:rsidRPr="00000000" w14:paraId="0000008D">
      <w:pPr>
        <w:rPr/>
      </w:pPr>
      <w:r w:rsidDel="00000000" w:rsidR="00000000" w:rsidRPr="00000000">
        <w:rPr>
          <w:rtl w:val="0"/>
        </w:rPr>
        <w:t xml:space="preserve">D. The Court of Appeal should adjourn the case and refer the point of law to the Supreme Court for a definitive ruling.</w:t>
      </w:r>
    </w:p>
    <w:p w:rsidR="00000000" w:rsidDel="00000000" w:rsidP="00000000" w:rsidRDefault="00000000" w:rsidRPr="00000000" w14:paraId="0000008E">
      <w:pPr>
        <w:rPr/>
      </w:pPr>
      <w:r w:rsidDel="00000000" w:rsidR="00000000" w:rsidRPr="00000000">
        <w:rPr>
          <w:rtl w:val="0"/>
        </w:rPr>
        <w:t xml:space="preserve">E. The Court of Appeal can treat R v Dillon as overruled by implication, using the exception for decisions inconsistent with a later Supreme Court decision.</w:t>
      </w:r>
    </w:p>
    <w:p w:rsidR="00000000" w:rsidDel="00000000" w:rsidP="00000000" w:rsidRDefault="00000000" w:rsidRPr="00000000" w14:paraId="0000008F">
      <w:pPr>
        <w:rPr/>
      </w:pPr>
      <w:r w:rsidDel="00000000" w:rsidR="00000000" w:rsidRPr="00000000">
        <w:rPr>
          <w:rtl w:val="0"/>
        </w:rPr>
        <w:t xml:space="preserve">The correct option is B</w:t>
      </w:r>
    </w:p>
    <w:p w:rsidR="00000000" w:rsidDel="00000000" w:rsidP="00000000" w:rsidRDefault="00000000" w:rsidRPr="00000000" w14:paraId="00000090">
      <w:pPr>
        <w:rPr/>
      </w:pPr>
      <w:r w:rsidDel="00000000" w:rsidR="00000000" w:rsidRPr="00000000">
        <w:rPr>
          <w:rtl w:val="0"/>
        </w:rPr>
        <w:t xml:space="preserve">Explanation</w:t>
      </w:r>
    </w:p>
    <w:p w:rsidR="00000000" w:rsidDel="00000000" w:rsidP="00000000" w:rsidRDefault="00000000" w:rsidRPr="00000000" w14:paraId="00000091">
      <w:pPr>
        <w:rPr/>
      </w:pPr>
      <w:r w:rsidDel="00000000" w:rsidR="00000000" w:rsidRPr="00000000">
        <w:rPr>
          <w:rtl w:val="0"/>
        </w:rPr>
        <w:t xml:space="preserve">Option B is correct. The Court of Appeal is bound by its own previous decisions (subject to the Young exceptions). A later Supreme Court decision can create an exception if it is inconsistent on the same point of law. Here, the Supreme Court's criticism was obiter (not necessary for its decision) and was made in a case concerning a different statute. This is unlikely to be considered a direct inconsistency that frees the Court of Appeal from its obligation. The safest and doctrinally correct course is to follow the binding precedent of R v Dillon.</w:t>
      </w:r>
    </w:p>
    <w:p w:rsidR="00000000" w:rsidDel="00000000" w:rsidP="00000000" w:rsidRDefault="00000000" w:rsidRPr="00000000" w14:paraId="00000092">
      <w:pPr>
        <w:rPr/>
      </w:pPr>
      <w:r w:rsidDel="00000000" w:rsidR="00000000" w:rsidRPr="00000000">
        <w:rPr>
          <w:rtl w:val="0"/>
        </w:rPr>
        <w:t xml:space="preserve">Option A is tempting but incorrect. Obiter remarks, even from the Supreme Court, do not themselves overrule or loosen binding precedent. The Court of Appeal's duty is to follow its own binding decisions unless a clear exception applies.</w:t>
      </w:r>
    </w:p>
    <w:p w:rsidR="00000000" w:rsidDel="00000000" w:rsidP="00000000" w:rsidRDefault="00000000" w:rsidRPr="00000000" w14:paraId="00000093">
      <w:pPr>
        <w:rPr/>
      </w:pPr>
      <w:r w:rsidDel="00000000" w:rsidR="00000000" w:rsidRPr="00000000">
        <w:rPr>
          <w:rtl w:val="0"/>
        </w:rPr>
        <w:t xml:space="preserve">Option C is incorrect. Obiter dicta are never binding, regardless of the court they come from.</w:t>
      </w:r>
    </w:p>
    <w:p w:rsidR="00000000" w:rsidDel="00000000" w:rsidP="00000000" w:rsidRDefault="00000000" w:rsidRPr="00000000" w14:paraId="00000094">
      <w:pPr>
        <w:rPr/>
      </w:pPr>
      <w:r w:rsidDel="00000000" w:rsidR="00000000" w:rsidRPr="00000000">
        <w:rPr>
          <w:rtl w:val="0"/>
        </w:rPr>
        <w:t xml:space="preserve">Option D is incorrect. While a leapfrog appeal is possible in rare circumstances, the Court of Appeal has a duty to decide the case before it using existing precedent. It cannot simply abdicate that responsibility.</w:t>
      </w:r>
    </w:p>
    <w:p w:rsidR="00000000" w:rsidDel="00000000" w:rsidP="00000000" w:rsidRDefault="00000000" w:rsidRPr="00000000" w14:paraId="00000095">
      <w:pPr>
        <w:rPr/>
      </w:pPr>
      <w:r w:rsidDel="00000000" w:rsidR="00000000" w:rsidRPr="00000000">
        <w:rPr>
          <w:rtl w:val="0"/>
        </w:rPr>
        <w:t xml:space="preserve">Option E is incorrect. The exception for inconsistency requires a later binding decision of a superior court on the same point. Obiter comments in a case on a different point do not meet this threshold.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Question 6</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High Court (Chancery Division) is hearing a case involving a novel type of commercial trust. Counsel discovers a relevant judgment from the Court of Appeal of Singapore. The Singapore decision carefully analyses English trust law authorities and arrives at a principled conclusion on the exact point in issue. There is no direct English precedent.</w:t>
      </w:r>
    </w:p>
    <w:p w:rsidR="00000000" w:rsidDel="00000000" w:rsidP="00000000" w:rsidRDefault="00000000" w:rsidRPr="00000000" w14:paraId="0000009A">
      <w:pPr>
        <w:rPr/>
      </w:pPr>
      <w:r w:rsidDel="00000000" w:rsidR="00000000" w:rsidRPr="00000000">
        <w:rPr>
          <w:rtl w:val="0"/>
        </w:rPr>
        <w:t xml:space="preserve">What weight is the High Court most likely to give to the Singapore Court of Appeal decision?</w:t>
      </w:r>
    </w:p>
    <w:p w:rsidR="00000000" w:rsidDel="00000000" w:rsidP="00000000" w:rsidRDefault="00000000" w:rsidRPr="00000000" w14:paraId="0000009B">
      <w:pPr>
        <w:rPr/>
      </w:pPr>
      <w:r w:rsidDel="00000000" w:rsidR="00000000" w:rsidRPr="00000000">
        <w:rPr>
          <w:rtl w:val="0"/>
        </w:rPr>
        <w:t xml:space="preserve">A. It will be binding, as Commonwealth appellate court decisions form part of English common law.</w:t>
      </w:r>
    </w:p>
    <w:p w:rsidR="00000000" w:rsidDel="00000000" w:rsidP="00000000" w:rsidRDefault="00000000" w:rsidRPr="00000000" w14:paraId="0000009C">
      <w:pPr>
        <w:rPr/>
      </w:pPr>
      <w:r w:rsidDel="00000000" w:rsidR="00000000" w:rsidRPr="00000000">
        <w:rPr>
          <w:rtl w:val="0"/>
        </w:rPr>
        <w:t xml:space="preserve">B. It will be disregarded, as foreign court decisions have no place in English jurisprudence.</w:t>
      </w:r>
    </w:p>
    <w:p w:rsidR="00000000" w:rsidDel="00000000" w:rsidP="00000000" w:rsidRDefault="00000000" w:rsidRPr="00000000" w14:paraId="0000009D">
      <w:pPr>
        <w:rPr/>
      </w:pPr>
      <w:r w:rsidDel="00000000" w:rsidR="00000000" w:rsidRPr="00000000">
        <w:rPr>
          <w:rtl w:val="0"/>
        </w:rPr>
        <w:t xml:space="preserve">C. It will be treated as highly persuasive, given the shared legal heritage and the quality of the reasoning.</w:t>
      </w:r>
    </w:p>
    <w:p w:rsidR="00000000" w:rsidDel="00000000" w:rsidP="00000000" w:rsidRDefault="00000000" w:rsidRPr="00000000" w14:paraId="0000009E">
      <w:pPr>
        <w:rPr/>
      </w:pPr>
      <w:r w:rsidDel="00000000" w:rsidR="00000000" w:rsidRPr="00000000">
        <w:rPr>
          <w:rtl w:val="0"/>
        </w:rPr>
        <w:t xml:space="preserve">D. It will be followed only if the judge personally finds the reasoning compelling.</w:t>
      </w:r>
    </w:p>
    <w:p w:rsidR="00000000" w:rsidDel="00000000" w:rsidP="00000000" w:rsidRDefault="00000000" w:rsidRPr="00000000" w14:paraId="0000009F">
      <w:pPr>
        <w:rPr/>
      </w:pPr>
      <w:r w:rsidDel="00000000" w:rsidR="00000000" w:rsidRPr="00000000">
        <w:rPr>
          <w:rtl w:val="0"/>
        </w:rPr>
        <w:t xml:space="preserve">E. It can only be cited if the parties both agree to its use.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correct option is 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Explanation</w:t>
      </w:r>
    </w:p>
    <w:p w:rsidR="00000000" w:rsidDel="00000000" w:rsidP="00000000" w:rsidRDefault="00000000" w:rsidRPr="00000000" w14:paraId="000000A4">
      <w:pPr>
        <w:rPr/>
      </w:pPr>
      <w:r w:rsidDel="00000000" w:rsidR="00000000" w:rsidRPr="00000000">
        <w:rPr>
          <w:rtl w:val="0"/>
        </w:rPr>
        <w:t xml:space="preserve">Option C is correct. English courts frequently cite decisions from other Commonwealth jurisdictions (e.g., Australia, Canada, New Zealand, Singapore) as persuasive authority, especially in areas of common law like trusts where the legal principles are shared. The weight given depends on the reputation of the court, the similarity of the legal context, and the perceived quality of the judgment. It is not binding but can be very influential in the absence of domestic authority.</w:t>
      </w:r>
    </w:p>
    <w:p w:rsidR="00000000" w:rsidDel="00000000" w:rsidP="00000000" w:rsidRDefault="00000000" w:rsidRPr="00000000" w14:paraId="000000A5">
      <w:pPr>
        <w:rPr/>
      </w:pPr>
      <w:r w:rsidDel="00000000" w:rsidR="00000000" w:rsidRPr="00000000">
        <w:rPr>
          <w:rtl w:val="0"/>
        </w:rPr>
        <w:t xml:space="preserve">Option A is incorrect. Only decisions of courts within the hierarchy of England and Wales are binding. Foreign decisions are never binding.</w:t>
      </w:r>
    </w:p>
    <w:p w:rsidR="00000000" w:rsidDel="00000000" w:rsidP="00000000" w:rsidRDefault="00000000" w:rsidRPr="00000000" w14:paraId="000000A6">
      <w:pPr>
        <w:rPr/>
      </w:pPr>
      <w:r w:rsidDel="00000000" w:rsidR="00000000" w:rsidRPr="00000000">
        <w:rPr>
          <w:rtl w:val="0"/>
        </w:rPr>
        <w:t xml:space="preserve">Option B is incorrect. English courts regularly consider and often adopt reasoning from persuasive foreign courts, particularly in developing common law principles.</w:t>
      </w:r>
    </w:p>
    <w:p w:rsidR="00000000" w:rsidDel="00000000" w:rsidP="00000000" w:rsidRDefault="00000000" w:rsidRPr="00000000" w14:paraId="000000A7">
      <w:pPr>
        <w:rPr/>
      </w:pPr>
      <w:r w:rsidDel="00000000" w:rsidR="00000000" w:rsidRPr="00000000">
        <w:rPr>
          <w:rtl w:val="0"/>
        </w:rPr>
        <w:t xml:space="preserve">Option D states a practical truth but is not the best description of the legal principle. The formal position is that it is persuasive, and the judge will evaluate it alongside other sources.</w:t>
      </w:r>
    </w:p>
    <w:p w:rsidR="00000000" w:rsidDel="00000000" w:rsidP="00000000" w:rsidRDefault="00000000" w:rsidRPr="00000000" w14:paraId="000000A8">
      <w:pPr>
        <w:rPr/>
      </w:pPr>
      <w:r w:rsidDel="00000000" w:rsidR="00000000" w:rsidRPr="00000000">
        <w:rPr>
          <w:rtl w:val="0"/>
        </w:rPr>
        <w:t xml:space="preserve">Option E is incorrect. There is no such requirement. Counsel may cite any relevant authority they consider appropriate.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Question 7</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 1972, the House of Lords decided Jones v Ministry of Defence, establishing a strict rule on Crown immunity in tort. In 2004, a seven-judge panel of the Supreme Court hears the case of Smith v Secretary of State for Defence. The legal and factual context is indistinguishable from Jones. Counsel for Smith invites the Supreme Court to depart from the 1972 precedent, arguing it is outdated and unjust.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Which of the following accurately describes the Supreme Court's power in this situation?</w:t>
      </w:r>
    </w:p>
    <w:p w:rsidR="00000000" w:rsidDel="00000000" w:rsidP="00000000" w:rsidRDefault="00000000" w:rsidRPr="00000000" w14:paraId="000000AF">
      <w:pPr>
        <w:rPr/>
      </w:pPr>
      <w:r w:rsidDel="00000000" w:rsidR="00000000" w:rsidRPr="00000000">
        <w:rPr>
          <w:rtl w:val="0"/>
        </w:rPr>
        <w:t xml:space="preserve">A. It has no power to depart from a House of Lords decision; only Parliament can change the law.</w:t>
      </w:r>
    </w:p>
    <w:p w:rsidR="00000000" w:rsidDel="00000000" w:rsidP="00000000" w:rsidRDefault="00000000" w:rsidRPr="00000000" w14:paraId="000000B0">
      <w:pPr>
        <w:rPr/>
      </w:pPr>
      <w:r w:rsidDel="00000000" w:rsidR="00000000" w:rsidRPr="00000000">
        <w:rPr>
          <w:rtl w:val="0"/>
        </w:rPr>
        <w:t xml:space="preserve">B. It can depart from Jones v Ministry of Defence,.</w:t>
      </w:r>
    </w:p>
    <w:p w:rsidR="00000000" w:rsidDel="00000000" w:rsidP="00000000" w:rsidRDefault="00000000" w:rsidRPr="00000000" w14:paraId="000000B1">
      <w:pPr>
        <w:rPr/>
      </w:pPr>
      <w:r w:rsidDel="00000000" w:rsidR="00000000" w:rsidRPr="00000000">
        <w:rPr>
          <w:rtl w:val="0"/>
        </w:rPr>
        <w:t xml:space="preserve">C. It must follow Jones unless the earlier decision was made per incuriam.</w:t>
      </w:r>
    </w:p>
    <w:p w:rsidR="00000000" w:rsidDel="00000000" w:rsidP="00000000" w:rsidRDefault="00000000" w:rsidRPr="00000000" w14:paraId="000000B2">
      <w:pPr>
        <w:rPr/>
      </w:pPr>
      <w:r w:rsidDel="00000000" w:rsidR="00000000" w:rsidRPr="00000000">
        <w:rPr>
          <w:rtl w:val="0"/>
        </w:rPr>
        <w:t xml:space="preserve">D. It can refer the question to the European Court of Human Rights, whose ruling will override the precedent.</w:t>
      </w:r>
    </w:p>
    <w:p w:rsidR="00000000" w:rsidDel="00000000" w:rsidP="00000000" w:rsidRDefault="00000000" w:rsidRPr="00000000" w14:paraId="000000B3">
      <w:pPr>
        <w:rPr/>
      </w:pPr>
      <w:r w:rsidDel="00000000" w:rsidR="00000000" w:rsidRPr="00000000">
        <w:rPr>
          <w:rtl w:val="0"/>
        </w:rPr>
        <w:t xml:space="preserve">E. It can simply overrule Jones because the Supreme Court is not bound by decisions of the House of Lords.</w:t>
      </w:r>
    </w:p>
    <w:p w:rsidR="00000000" w:rsidDel="00000000" w:rsidP="00000000" w:rsidRDefault="00000000" w:rsidRPr="00000000" w14:paraId="000000B4">
      <w:pPr>
        <w:rPr/>
      </w:pPr>
      <w:r w:rsidDel="00000000" w:rsidR="00000000" w:rsidRPr="00000000">
        <w:rPr>
          <w:rtl w:val="0"/>
        </w:rPr>
        <w:t xml:space="preserve">The correct option is B</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Explanation</w:t>
      </w:r>
    </w:p>
    <w:p w:rsidR="00000000" w:rsidDel="00000000" w:rsidP="00000000" w:rsidRDefault="00000000" w:rsidRPr="00000000" w14:paraId="000000B7">
      <w:pPr>
        <w:rPr/>
      </w:pPr>
      <w:r w:rsidDel="00000000" w:rsidR="00000000" w:rsidRPr="00000000">
        <w:rPr>
          <w:rtl w:val="0"/>
        </w:rPr>
        <w:t xml:space="preserve">Option B is correct. The 1966 Practice Statement (issued by the House of Lords and adopted by the Supreme Court) allows the UK's highest court to depart from its own previous decisions (including those of the House of Lords) "when it appears right to do so." The court will consider factors such as the age of the decision, changing social conditions, and whether the precedent causes injustice. This is the mechanism for the highest court to correct its own errors without requiring an Act of Parliament.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Option A is incorrect. The 1966 Practice Statement explicitly granted this power to the judicial branch.</w:t>
      </w:r>
    </w:p>
    <w:p w:rsidR="00000000" w:rsidDel="00000000" w:rsidP="00000000" w:rsidRDefault="00000000" w:rsidRPr="00000000" w14:paraId="000000BA">
      <w:pPr>
        <w:rPr/>
      </w:pPr>
      <w:r w:rsidDel="00000000" w:rsidR="00000000" w:rsidRPr="00000000">
        <w:rPr>
          <w:rtl w:val="0"/>
        </w:rPr>
        <w:t xml:space="preserve">Option C is incorrect. The per incuriam exception is for the Court of Appeal regarding its own decisions. The Supreme Court's wider power is governed by the Practice Statement.</w:t>
      </w:r>
    </w:p>
    <w:p w:rsidR="00000000" w:rsidDel="00000000" w:rsidP="00000000" w:rsidRDefault="00000000" w:rsidRPr="00000000" w14:paraId="000000BB">
      <w:pPr>
        <w:rPr/>
      </w:pPr>
      <w:r w:rsidDel="00000000" w:rsidR="00000000" w:rsidRPr="00000000">
        <w:rPr>
          <w:rtl w:val="0"/>
        </w:rPr>
        <w:t xml:space="preserve">Option D is incorrect. A ruling from the ECtHR might influence the Supreme Court's application of human rights law, but it does not provide a procedural mechanism for overruling a domestic precedent. The Supreme Court would use the Practice Statement.</w:t>
      </w:r>
    </w:p>
    <w:p w:rsidR="00000000" w:rsidDel="00000000" w:rsidP="00000000" w:rsidRDefault="00000000" w:rsidRPr="00000000" w14:paraId="000000BC">
      <w:pPr>
        <w:rPr/>
      </w:pPr>
      <w:r w:rsidDel="00000000" w:rsidR="00000000" w:rsidRPr="00000000">
        <w:rPr>
          <w:rtl w:val="0"/>
        </w:rPr>
        <w:t xml:space="preserve">Option E is incorrect. The Supreme Court is the direct successor to the House of Lords. It treats House of Lords decisions as its own previous decisions for the purposes of the Practice Statement. It is not that it is "not bound"; it is that it has a controlled power to depart.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Question 8</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Divisional Court of the Queen's Bench Division (consisting of two High Court judges) hears an appeal by way of case stated from the Magistrates' Court. The Divisional Court sets out a new principle on the admissibility of evidence in summary trials. Several months later, a Crown Court judge, trying a case on indictment, is faced with the same evidential issue. Counsel urges the judge to follow the Divisional Court's principle.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Is the Crown Court judge bound by the Divisional Court's decision?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Yes, because the Divisional Court is a superior court to the Crown Court.</w:t>
      </w:r>
    </w:p>
    <w:p w:rsidR="00000000" w:rsidDel="00000000" w:rsidP="00000000" w:rsidRDefault="00000000" w:rsidRPr="00000000" w14:paraId="000000C5">
      <w:pPr>
        <w:rPr/>
      </w:pPr>
      <w:r w:rsidDel="00000000" w:rsidR="00000000" w:rsidRPr="00000000">
        <w:rPr>
          <w:rtl w:val="0"/>
        </w:rPr>
        <w:t xml:space="preserve">B. No, because the Divisional Court's decision was made in an appeal from a Magistrates' Court and is not binding on the Crown Court.</w:t>
      </w:r>
    </w:p>
    <w:p w:rsidR="00000000" w:rsidDel="00000000" w:rsidP="00000000" w:rsidRDefault="00000000" w:rsidRPr="00000000" w14:paraId="000000C6">
      <w:pPr>
        <w:rPr/>
      </w:pPr>
      <w:r w:rsidDel="00000000" w:rsidR="00000000" w:rsidRPr="00000000">
        <w:rPr>
          <w:rtl w:val="0"/>
        </w:rPr>
        <w:t xml:space="preserve">C. Yes, because all decisions of the High Court (whether single judge or Divisional Court) bind the Crown Court.</w:t>
      </w:r>
    </w:p>
    <w:p w:rsidR="00000000" w:rsidDel="00000000" w:rsidP="00000000" w:rsidRDefault="00000000" w:rsidRPr="00000000" w14:paraId="000000C7">
      <w:pPr>
        <w:rPr/>
      </w:pPr>
      <w:r w:rsidDel="00000000" w:rsidR="00000000" w:rsidRPr="00000000">
        <w:rPr>
          <w:rtl w:val="0"/>
        </w:rPr>
        <w:t xml:space="preserve">D. No, because the Crown Court is part of the Supreme Court of Judicature and is of equal rank to the High Court.</w:t>
      </w:r>
    </w:p>
    <w:p w:rsidR="00000000" w:rsidDel="00000000" w:rsidP="00000000" w:rsidRDefault="00000000" w:rsidRPr="00000000" w14:paraId="000000C8">
      <w:pPr>
        <w:rPr/>
      </w:pPr>
      <w:r w:rsidDel="00000000" w:rsidR="00000000" w:rsidRPr="00000000">
        <w:rPr>
          <w:rtl w:val="0"/>
        </w:rPr>
        <w:t xml:space="preserve">E. Only if the Divisional Court's decision was unanimous.</w:t>
      </w:r>
    </w:p>
    <w:p w:rsidR="00000000" w:rsidDel="00000000" w:rsidP="00000000" w:rsidRDefault="00000000" w:rsidRPr="00000000" w14:paraId="000000C9">
      <w:pPr>
        <w:rPr/>
      </w:pPr>
      <w:r w:rsidDel="00000000" w:rsidR="00000000" w:rsidRPr="00000000">
        <w:rPr>
          <w:rtl w:val="0"/>
        </w:rPr>
        <w:t xml:space="preserve">The correct option is 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Explanation</w:t>
      </w:r>
    </w:p>
    <w:p w:rsidR="00000000" w:rsidDel="00000000" w:rsidP="00000000" w:rsidRDefault="00000000" w:rsidRPr="00000000" w14:paraId="000000CC">
      <w:pPr>
        <w:rPr/>
      </w:pPr>
      <w:r w:rsidDel="00000000" w:rsidR="00000000" w:rsidRPr="00000000">
        <w:rPr>
          <w:rtl w:val="0"/>
        </w:rPr>
        <w:t xml:space="preserve">Option A is correct. The Crown Court is inferior to the High Court in the court hierarchy. A Divisional Court of the High Court (hearing an appeal) makes a decision that is binding on all lower courts, which includes the Crown Court. The subject matter of the appeal (from magistrates) does not limit the precedent's binding effect on other lower courts in subsequent cases. The principle of law stated is what binds.</w:t>
      </w:r>
    </w:p>
    <w:p w:rsidR="00000000" w:rsidDel="00000000" w:rsidP="00000000" w:rsidRDefault="00000000" w:rsidRPr="00000000" w14:paraId="000000CD">
      <w:pPr>
        <w:rPr/>
      </w:pPr>
      <w:r w:rsidDel="00000000" w:rsidR="00000000" w:rsidRPr="00000000">
        <w:rPr>
          <w:rtl w:val="0"/>
        </w:rPr>
        <w:t xml:space="preserve">Option B is incorrect. The source of the case (appeal from magistrates) does not affect the hierarchical authority of the High Court. Its decisions on points of law are binding on lower courts generally.</w:t>
      </w:r>
    </w:p>
    <w:p w:rsidR="00000000" w:rsidDel="00000000" w:rsidP="00000000" w:rsidRDefault="00000000" w:rsidRPr="00000000" w14:paraId="000000CE">
      <w:pPr>
        <w:rPr/>
      </w:pPr>
      <w:r w:rsidDel="00000000" w:rsidR="00000000" w:rsidRPr="00000000">
        <w:rPr>
          <w:rtl w:val="0"/>
        </w:rPr>
        <w:t xml:space="preserve">Option C is technically broad but captures the correct principle. A single High Court judge's decision is also binding on the Crown Court, though arguably with slightly less authority than a Divisional Court ruling.</w:t>
      </w:r>
    </w:p>
    <w:p w:rsidR="00000000" w:rsidDel="00000000" w:rsidP="00000000" w:rsidRDefault="00000000" w:rsidRPr="00000000" w14:paraId="000000CF">
      <w:pPr>
        <w:rPr/>
      </w:pPr>
      <w:r w:rsidDel="00000000" w:rsidR="00000000" w:rsidRPr="00000000">
        <w:rPr>
          <w:rtl w:val="0"/>
        </w:rPr>
        <w:t xml:space="preserve">Option D is incorrect. The Crown Court is not of equal rank to the High Court. The High Court is superior. The Supreme Court of Judicature is the collective name for the senior courts (Court of Appeal, High Court, Crown Court), but within that structure, there is a clear hierarchy.</w:t>
      </w:r>
    </w:p>
    <w:p w:rsidR="00000000" w:rsidDel="00000000" w:rsidP="00000000" w:rsidRDefault="00000000" w:rsidRPr="00000000" w14:paraId="000000D0">
      <w:pPr>
        <w:rPr/>
      </w:pPr>
      <w:r w:rsidDel="00000000" w:rsidR="00000000" w:rsidRPr="00000000">
        <w:rPr>
          <w:rtl w:val="0"/>
        </w:rPr>
        <w:t xml:space="preserve">Option E is incorrect. Unanimity is not a requirement for a decision to be binding.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Question 9</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Court of Appeal (Civil Division) hears a case involving a point of contract law. The court's judgment contains the following passage: "For the reasons given above, we find for the Appellant. However, we wish to add that, even if our interpretation of the clause were wrong, we would have found the Respondent liable under the principle of unjust enrichment, for the reasons set out in Goff &amp; Jones." The appellant's success was therefore based solely on the interpretation of the contract clause. Two years later, a different case raising the novel point of unjust enrichment discussed obiter in the earlier Court of Appeal judgment comes before the High Court.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What is the status of the Court of Appeal's comments on unjust enrichment?</w:t>
      </w:r>
    </w:p>
    <w:p w:rsidR="00000000" w:rsidDel="00000000" w:rsidP="00000000" w:rsidRDefault="00000000" w:rsidRPr="00000000" w14:paraId="000000D7">
      <w:pPr>
        <w:rPr/>
      </w:pPr>
      <w:r w:rsidDel="00000000" w:rsidR="00000000" w:rsidRPr="00000000">
        <w:rPr>
          <w:rtl w:val="0"/>
        </w:rPr>
        <w:t xml:space="preserve">A. They are binding, as they were part of the Court of Appeal's judgment.</w:t>
      </w:r>
    </w:p>
    <w:p w:rsidR="00000000" w:rsidDel="00000000" w:rsidP="00000000" w:rsidRDefault="00000000" w:rsidRPr="00000000" w14:paraId="000000D8">
      <w:pPr>
        <w:rPr/>
      </w:pPr>
      <w:r w:rsidDel="00000000" w:rsidR="00000000" w:rsidRPr="00000000">
        <w:rPr>
          <w:rtl w:val="0"/>
        </w:rPr>
        <w:t xml:space="preserve">B. They are not binding because they were obiter  but may be persuasive.</w:t>
      </w:r>
    </w:p>
    <w:p w:rsidR="00000000" w:rsidDel="00000000" w:rsidP="00000000" w:rsidRDefault="00000000" w:rsidRPr="00000000" w14:paraId="000000D9">
      <w:pPr>
        <w:rPr/>
      </w:pPr>
      <w:r w:rsidDel="00000000" w:rsidR="00000000" w:rsidRPr="00000000">
        <w:rPr>
          <w:rtl w:val="0"/>
        </w:rPr>
        <w:t xml:space="preserve">C. They are binding because they were part of the reasoning that led to the final order.</w:t>
      </w:r>
    </w:p>
    <w:p w:rsidR="00000000" w:rsidDel="00000000" w:rsidP="00000000" w:rsidRDefault="00000000" w:rsidRPr="00000000" w14:paraId="000000DA">
      <w:pPr>
        <w:rPr/>
      </w:pPr>
      <w:r w:rsidDel="00000000" w:rsidR="00000000" w:rsidRPr="00000000">
        <w:rPr>
          <w:rtl w:val="0"/>
        </w:rPr>
        <w:t xml:space="preserve">D. They have no status, as the court explicitly said its interpretation of the contract clause was the basis for the decision.</w:t>
      </w:r>
    </w:p>
    <w:p w:rsidR="00000000" w:rsidDel="00000000" w:rsidP="00000000" w:rsidRDefault="00000000" w:rsidRPr="00000000" w14:paraId="000000DB">
      <w:pPr>
        <w:rPr/>
      </w:pPr>
      <w:r w:rsidDel="00000000" w:rsidR="00000000" w:rsidRPr="00000000">
        <w:rPr>
          <w:rtl w:val="0"/>
        </w:rPr>
        <w:t xml:space="preserve">E. They create a binding precedent on the point of unjust enrichment, as the court fully considered the arguments.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correct option is B</w:t>
      </w:r>
    </w:p>
    <w:p w:rsidR="00000000" w:rsidDel="00000000" w:rsidP="00000000" w:rsidRDefault="00000000" w:rsidRPr="00000000" w14:paraId="000000DE">
      <w:pPr>
        <w:rPr/>
      </w:pPr>
      <w:r w:rsidDel="00000000" w:rsidR="00000000" w:rsidRPr="00000000">
        <w:rPr>
          <w:rtl w:val="0"/>
        </w:rPr>
        <w:t xml:space="preserve">Explanation</w:t>
      </w:r>
    </w:p>
    <w:p w:rsidR="00000000" w:rsidDel="00000000" w:rsidP="00000000" w:rsidRDefault="00000000" w:rsidRPr="00000000" w14:paraId="000000DF">
      <w:pPr>
        <w:rPr/>
      </w:pPr>
      <w:r w:rsidDel="00000000" w:rsidR="00000000" w:rsidRPr="00000000">
        <w:rPr>
          <w:rtl w:val="0"/>
        </w:rPr>
        <w:t xml:space="preserve">Option B is correct. The passage is a classic example of obiter dictum (plural: dicta). The court stated how it would have decided a hypothetical scenario (unjust enrichment) that was not necessary for the resolution of the actual case (which turned on contract interpretation). Obiter dicta are not part of the ratio decidendi (the reason for the decision) and are therefore not binding on lower courts or future Courts of Appeal. However, they can be highly persuasive, especially when carefully considered by a senior court.</w:t>
      </w:r>
    </w:p>
    <w:p w:rsidR="00000000" w:rsidDel="00000000" w:rsidP="00000000" w:rsidRDefault="00000000" w:rsidRPr="00000000" w14:paraId="000000E0">
      <w:pPr>
        <w:rPr/>
      </w:pPr>
      <w:r w:rsidDel="00000000" w:rsidR="00000000" w:rsidRPr="00000000">
        <w:rPr>
          <w:rtl w:val="0"/>
        </w:rPr>
        <w:t xml:space="preserve">Option A is incorrect. Not every part of a judgment is binding; only the ratio is.</w:t>
      </w:r>
    </w:p>
    <w:p w:rsidR="00000000" w:rsidDel="00000000" w:rsidP="00000000" w:rsidRDefault="00000000" w:rsidRPr="00000000" w14:paraId="000000E1">
      <w:pPr>
        <w:rPr/>
      </w:pPr>
      <w:r w:rsidDel="00000000" w:rsidR="00000000" w:rsidRPr="00000000">
        <w:rPr>
          <w:rtl w:val="0"/>
        </w:rPr>
        <w:t xml:space="preserve">Option C is incorrect. The comments were not part of the reasoning that led to the order. The order was based on contract interpretation. The unjust enrichment comments were an alternative, hypothetical reasoning.</w:t>
      </w:r>
    </w:p>
    <w:p w:rsidR="00000000" w:rsidDel="00000000" w:rsidP="00000000" w:rsidRDefault="00000000" w:rsidRPr="00000000" w14:paraId="000000E2">
      <w:pPr>
        <w:rPr/>
      </w:pPr>
      <w:r w:rsidDel="00000000" w:rsidR="00000000" w:rsidRPr="00000000">
        <w:rPr>
          <w:rtl w:val="0"/>
        </w:rPr>
        <w:t xml:space="preserve">Option D is incorrect. They have status as persuasive obiter dicta, not "no status."</w:t>
      </w:r>
    </w:p>
    <w:p w:rsidR="00000000" w:rsidDel="00000000" w:rsidP="00000000" w:rsidRDefault="00000000" w:rsidRPr="00000000" w14:paraId="000000E3">
      <w:pPr>
        <w:rPr/>
      </w:pPr>
      <w:r w:rsidDel="00000000" w:rsidR="00000000" w:rsidRPr="00000000">
        <w:rPr>
          <w:rtl w:val="0"/>
        </w:rPr>
        <w:t xml:space="preserve">Option E is incorrect. A court cannot create a binding precedent on a point it did not need to decide. The binding precedent is on the contract interpretation point.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Question 10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case involving the interpretation of a standard term in commercial leases is heard by a Deputy High Court Judge in the Chancery Division. The Deputy Judge gives a reasoned judgment, creating a clear precedent. Later, the same point arises in a case before a full-time High Court Judge (a "puisne judge") in the same Division. Counsel argues that the precedent set by the Deputy Judge is binding.</w:t>
      </w:r>
    </w:p>
    <w:p w:rsidR="00000000" w:rsidDel="00000000" w:rsidP="00000000" w:rsidRDefault="00000000" w:rsidRPr="00000000" w14:paraId="000000E8">
      <w:pPr>
        <w:rPr/>
      </w:pPr>
      <w:r w:rsidDel="00000000" w:rsidR="00000000" w:rsidRPr="00000000">
        <w:rPr>
          <w:rtl w:val="0"/>
        </w:rPr>
        <w:t xml:space="preserve">Is the puisne judge bound by the decision of the Deputy High Court Judge?</w:t>
      </w:r>
    </w:p>
    <w:p w:rsidR="00000000" w:rsidDel="00000000" w:rsidP="00000000" w:rsidRDefault="00000000" w:rsidRPr="00000000" w14:paraId="000000E9">
      <w:pPr>
        <w:rPr/>
      </w:pPr>
      <w:r w:rsidDel="00000000" w:rsidR="00000000" w:rsidRPr="00000000">
        <w:rPr>
          <w:rtl w:val="0"/>
        </w:rPr>
        <w:t xml:space="preserve">A. No, because a Deputy High Court Judge is not a full High Court Judge and their decisions cannot create binding precedent.</w:t>
      </w:r>
    </w:p>
    <w:p w:rsidR="00000000" w:rsidDel="00000000" w:rsidP="00000000" w:rsidRDefault="00000000" w:rsidRPr="00000000" w14:paraId="000000EA">
      <w:pPr>
        <w:rPr/>
      </w:pPr>
      <w:r w:rsidDel="00000000" w:rsidR="00000000" w:rsidRPr="00000000">
        <w:rPr>
          <w:rtl w:val="0"/>
        </w:rPr>
        <w:t xml:space="preserve">B. Yes, because a Deputy High Court Judge, when sitting, exercises the full jurisdiction of the High Court and their decisions are binding on judges of co-ordinate jurisdiction.</w:t>
      </w:r>
    </w:p>
    <w:p w:rsidR="00000000" w:rsidDel="00000000" w:rsidP="00000000" w:rsidRDefault="00000000" w:rsidRPr="00000000" w14:paraId="000000EB">
      <w:pPr>
        <w:rPr/>
      </w:pPr>
      <w:r w:rsidDel="00000000" w:rsidR="00000000" w:rsidRPr="00000000">
        <w:rPr>
          <w:rtl w:val="0"/>
        </w:rPr>
        <w:t xml:space="preserve">C. No, because decisions of single High Court judges are only persuasive, not binding, on other High Court judges.</w:t>
      </w:r>
    </w:p>
    <w:p w:rsidR="00000000" w:rsidDel="00000000" w:rsidP="00000000" w:rsidRDefault="00000000" w:rsidRPr="00000000" w14:paraId="000000EC">
      <w:pPr>
        <w:rPr/>
      </w:pPr>
      <w:r w:rsidDel="00000000" w:rsidR="00000000" w:rsidRPr="00000000">
        <w:rPr>
          <w:rtl w:val="0"/>
        </w:rPr>
        <w:t xml:space="preserve">D. Yes, but only if the decision was approved by the Chancellor of the High Court before publication.</w:t>
      </w:r>
    </w:p>
    <w:p w:rsidR="00000000" w:rsidDel="00000000" w:rsidP="00000000" w:rsidRDefault="00000000" w:rsidRPr="00000000" w14:paraId="000000ED">
      <w:pPr>
        <w:rPr/>
      </w:pPr>
      <w:r w:rsidDel="00000000" w:rsidR="00000000" w:rsidRPr="00000000">
        <w:rPr>
          <w:rtl w:val="0"/>
        </w:rPr>
        <w:t xml:space="preserve">E. No, because the doctrine of precedent only applies to decisions of the Court of Appeal and above.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correct option is B</w:t>
      </w:r>
    </w:p>
    <w:p w:rsidR="00000000" w:rsidDel="00000000" w:rsidP="00000000" w:rsidRDefault="00000000" w:rsidRPr="00000000" w14:paraId="000000F0">
      <w:pPr>
        <w:rPr/>
      </w:pPr>
      <w:r w:rsidDel="00000000" w:rsidR="00000000" w:rsidRPr="00000000">
        <w:rPr>
          <w:rtl w:val="0"/>
        </w:rPr>
        <w:t xml:space="preserve">Explanation</w:t>
      </w:r>
    </w:p>
    <w:p w:rsidR="00000000" w:rsidDel="00000000" w:rsidP="00000000" w:rsidRDefault="00000000" w:rsidRPr="00000000" w14:paraId="000000F1">
      <w:pPr>
        <w:rPr/>
      </w:pPr>
      <w:r w:rsidDel="00000000" w:rsidR="00000000" w:rsidRPr="00000000">
        <w:rPr>
          <w:rtl w:val="0"/>
        </w:rPr>
        <w:t xml:space="preserve">Option B is correct. A Deputy High Court Judge (typically a senior QC or circuit judge) is appointed under statute to act as a judge of the High Court. When duly sitting, they have the same jurisdiction as a full-time High Court Judge. The general rule is that decisions of a High Court Judge (whether full-time or deputy) are binding on other High Court Judges (of co-ordinate jurisdiction) unless there is a conflicting decision. This maintains consistency at the High Court level. A puisne judge should therefore follow the earlier decision unless there is a compelling reason not to (e.g., it was per incuriam).</w:t>
      </w:r>
    </w:p>
    <w:p w:rsidR="00000000" w:rsidDel="00000000" w:rsidP="00000000" w:rsidRDefault="00000000" w:rsidRPr="00000000" w14:paraId="000000F2">
      <w:pPr>
        <w:rPr/>
      </w:pPr>
      <w:r w:rsidDel="00000000" w:rsidR="00000000" w:rsidRPr="00000000">
        <w:rPr>
          <w:rtl w:val="0"/>
        </w:rPr>
        <w:t xml:space="preserve">Option A is incorrect. The status of the judge in post does not diminish the authority of the judgment given while exercising the court's jurisdiction.</w:t>
      </w:r>
    </w:p>
    <w:p w:rsidR="00000000" w:rsidDel="00000000" w:rsidP="00000000" w:rsidRDefault="00000000" w:rsidRPr="00000000" w14:paraId="000000F3">
      <w:pPr>
        <w:rPr/>
      </w:pPr>
      <w:r w:rsidDel="00000000" w:rsidR="00000000" w:rsidRPr="00000000">
        <w:rPr>
          <w:rtl w:val="0"/>
        </w:rPr>
        <w:t xml:space="preserve">Option C is incorrect. While a single High Court judge's decision is not binding on the Court of Appeal, it is binding on other High Court judges and on lower courts.</w:t>
      </w:r>
    </w:p>
    <w:p w:rsidR="00000000" w:rsidDel="00000000" w:rsidP="00000000" w:rsidRDefault="00000000" w:rsidRPr="00000000" w14:paraId="000000F4">
      <w:pPr>
        <w:rPr/>
      </w:pPr>
      <w:r w:rsidDel="00000000" w:rsidR="00000000" w:rsidRPr="00000000">
        <w:rPr>
          <w:rtl w:val="0"/>
        </w:rPr>
        <w:t xml:space="preserve">Option D is incorrect. There is no such approval process for judgments to gain precedential value.</w:t>
      </w:r>
    </w:p>
    <w:p w:rsidR="00000000" w:rsidDel="00000000" w:rsidP="00000000" w:rsidRDefault="00000000" w:rsidRPr="00000000" w14:paraId="000000F5">
      <w:pPr>
        <w:rPr/>
      </w:pPr>
      <w:r w:rsidDel="00000000" w:rsidR="00000000" w:rsidRPr="00000000">
        <w:rPr>
          <w:rtl w:val="0"/>
        </w:rPr>
        <w:t xml:space="preserve">Option E is incorrect. The doctrine of precedent operates at all levels of the court hierarchy.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color w:val="333333"/>
          <w:sz w:val="24"/>
          <w:szCs w:val="24"/>
        </w:rPr>
      </w:pPr>
      <w:r w:rsidDel="00000000" w:rsidR="00000000" w:rsidRPr="00000000">
        <w:rPr>
          <w:rtl w:val="0"/>
        </w:rPr>
        <w:t xml:space="preserve">C- </w:t>
      </w:r>
      <w:r w:rsidDel="00000000" w:rsidR="00000000" w:rsidRPr="00000000">
        <w:rPr>
          <w:color w:val="333333"/>
          <w:sz w:val="24"/>
          <w:szCs w:val="24"/>
          <w:rtl w:val="0"/>
        </w:rPr>
        <w:t xml:space="preserve">Primary legislation:-The structure of an act of Parliament &amp; The structure of an act of Senedd Cymru</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hd w:fill="ffffff" w:val="clea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0FA">
      <w:pPr>
        <w:shd w:fill="ffffff" w:val="clea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"Online Safety Act 2026" receives Royal Assent. A lawyer is reviewing the Act to advise a client on new obligations for social media platforms. The lawyer notes that the Act contains a "Part 7" which includes sections 145-150. Section 148(3) states: "The duties under subsection (2) do not apply to a service which is exempted by regulations made by the Secretary of State." The lawyer cannot find any such regulations in the body of the Act itself.</w:t>
        <w:br w:type="textWrapping"/>
        <w:t xml:space="preserve">Under which of the following likely located within the Act's structure would the lawyer find the power for the Secretary of State to make those exempting regulations?</w:t>
        <w:br w:type="textWrapping"/>
        <w:t xml:space="preserve">A. In the Short Title of the Act.</w:t>
        <w:br w:type="textWrapping"/>
        <w:t xml:space="preserve">B. In the Long Title of the Act.</w:t>
        <w:br w:type="textWrapping"/>
        <w:t xml:space="preserve">C. In an Interpretation section near the end of the Act.</w:t>
        <w:br w:type="textWrapping"/>
        <w:t xml:space="preserve">D. In a separate Regulations and Orders section.</w:t>
        <w:br w:type="textWrapping"/>
        <w:t xml:space="preserve">E. In the Preamble to the Act.</w:t>
        <w:br w:type="textWrapping"/>
        <w:t xml:space="preserve">The correct option is D</w:t>
        <w:br w:type="textWrapping"/>
        <w:t xml:space="preserve">Explanation</w:t>
        <w:br w:type="textWrapping"/>
        <w:t xml:space="preserve">Option D is correct. Modern Acts of Parliament routinely include distinct sections or schedules that confer powers to make delegated legislation (statutory instruments). These are often grouped under headings such as "Regulations and Orders," "Power to make consequential provision," or "Subordinate legislation." This is where the enabling power for the Secretary of State to make the exemption regulations under s.148(3) would be explicitly set out, detailing the procedural requirements (e.g., affirmative or negative resolution).</w:t>
        <w:br w:type="textWrapping"/>
        <w:t xml:space="preserve">Option A is incorrect. The Short Title (e.g., "Online Safety Act 2026") is for citation and does not contain substantive powers.</w:t>
        <w:br w:type="textWrapping"/>
        <w:t xml:space="preserve">Option B is incorrect. The Long Title describes the Act's general purpose (e.g., "An Act to make provision for the regulation of online content...") but does not grant specific regulatory powers.</w:t>
        <w:br w:type="textWrapping"/>
        <w:t xml:space="preserve">Option C is incorrect. Interpretation sections define terms used in the Act but do not normally confer legislative powers.</w:t>
        <w:br w:type="textWrapping"/>
        <w:t xml:space="preserve">Option E is incorrect. Preambles (recitals) are rare in modern UK public general acts. They were used historically to state reasons for the Act but do not confer powers.</w:t>
      </w:r>
    </w:p>
    <w:p w:rsidR="00000000" w:rsidDel="00000000" w:rsidP="00000000" w:rsidRDefault="00000000" w:rsidRPr="00000000" w14:paraId="000000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0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"Sustainable Energy Act 2025" is passed by the UK Parliament. Section 1 creates a "Green Household Grant Scheme." Section 24(1) states: "The Secretary of State may by regulations amend Schedule 2." Schedule 2 lists the types of home insulation covered by the grant. Section 25 is titled "Commencement" and states: "This Act comes into force on the day on which it is passed, except for section 1 and Schedule 2, which come into force on such day as the Secretary of State may by regulations appoint."</w:t>
        <w:br w:type="textWrapping"/>
        <w:t xml:space="preserve">Which of the following statements about the structure of this Act is correct?</w:t>
        <w:br w:type="textWrapping"/>
        <w:t xml:space="preserve">A. Section 1 is not yet law, and the Secretary of State cannot yet make regulations under Section 24(1) to amend Schedule 2.</w:t>
        <w:br w:type="textWrapping"/>
        <w:t xml:space="preserve">B. Section 1 is not yet law, but the power in Section 24(1) to amend Schedule 2 is in force.</w:t>
        <w:br w:type="textWrapping"/>
        <w:t xml:space="preserve">C. Section 1 and Schedule 2 are fully in force, so the Secretary of State can immediately amend them using Section 24(1).</w:t>
        <w:br w:type="textWrapping"/>
        <w:t xml:space="preserve">D. The entire Act is in force because Section 25 says it comes into force on the day it is passed.</w:t>
        <w:br w:type="textWrapping"/>
        <w:t xml:space="preserve">E. The Secretary of State can use the power in Section 25 to bring Section 1 into force and simultaneously use the power in Section 24(1) to amend it.</w:t>
        <w:br w:type="textWrapping"/>
        <w:t xml:space="preserve">The correct option is B</w:t>
        <w:br w:type="textWrapping"/>
        <w:t xml:space="preserve">Explanation</w:t>
        <w:br w:type="textWrapping"/>
        <w:t xml:space="preserve">Option B is correct. Commencement provisions are a key structural component. Here, Section 25 creates a staged commencement: the default is immediate commencement, but Section 1 and Schedule 2 are expressly excluded and require a commencement order. Therefore, Section 1 and Schedule 2 are not yet in force. However, the enabling power in Section 24(1) is part of the Act that came into force on the day of passing (as it is not listed as an exception in Section 25). It is common for powers to make subordinate legislation (like the power to amend a Schedule) to be commenced early, so they can be used to make regulations that will be ready when the substantive provisions commence.</w:t>
        <w:br w:type="textWrapping"/>
        <w:t xml:space="preserve">Option A is incorrect because it wrongly assumes the power to make regulations is not in force.</w:t>
        <w:br w:type="textWrapping"/>
        <w:t xml:space="preserve">Option C is incorrect because Section 1 and Schedule 2 are expressly not in force yet.</w:t>
        <w:br w:type="textWrapping"/>
        <w:t xml:space="preserve">Option D is incorrect because it ignores the explicit exceptions for Section 1 and Schedule 2.</w:t>
        <w:br w:type="textWrapping"/>
        <w:t xml:space="preserve">Option E is partially true in practice but not strictly accurate as stated. The Secretary of State can make a commencement order under Section 25 to bring Section 1 and Schedule 2 into force. They could also make amending regulations under Section 24(1), but those amending regulations could only take effect once Schedule 2 itself is in force. The powers are separate and the effects are sequential.</w:t>
      </w:r>
    </w:p>
    <w:p w:rsidR="00000000" w:rsidDel="00000000" w:rsidP="00000000" w:rsidRDefault="00000000" w:rsidRPr="00000000" w14:paraId="000000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0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Act of the Senedd Cymru, the "Welsh Language Education Act 2024," is bilingual, with equal authenticity given to the Welsh and English texts. Section 5(2) in the English text states: "A local authority must prepare a strategy." The corresponding provision in the Welsh text uses the word "gynllunio," which can mean "to plan" or "to design," a subtly broader concept than "prepare a strategy." During a judicial review of a local authority's actions, the meaning of this duty is disputed.</w:t>
        <w:br w:type="textWrapping"/>
      </w:r>
    </w:p>
    <w:p w:rsidR="00000000" w:rsidDel="00000000" w:rsidP="00000000" w:rsidRDefault="00000000" w:rsidRPr="00000000" w14:paraId="000000F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approach to interpreting this bilingual provision?</w:t>
        <w:br w:type="textWrapping"/>
        <w:t xml:space="preserve">A. The English text must prevail because it is the language of the UK Parliament, from which the Senedd derives its power.</w:t>
        <w:br w:type="textWrapping"/>
        <w:t xml:space="preserve">B. The Welsh text must prevail as the Act relates to the Welsh language and was enacted in Wales.</w:t>
        <w:br w:type="textWrapping"/>
        <w:t xml:space="preserve">C. The court must prefer the meaning that best reconciles the texts, having regard to the purpose of the Act.</w:t>
        <w:br w:type="textWrapping"/>
        <w:t xml:space="preserve">D. The court must disregard the Welsh text and apply ordinary English principles of statutory interpretation to the English text only.</w:t>
        <w:br w:type="textWrapping"/>
        <w:t xml:space="preserve">E. The court must request a fresh official translation from the Senedd to resolve the discrepancy.</w:t>
        <w:br w:type="textWrapping"/>
        <w:t xml:space="preserve">The correct option is C</w:t>
        <w:br w:type="textWrapping"/>
        <w:t xml:space="preserve">Explanation</w:t>
        <w:br w:type="textWrapping"/>
        <w:t xml:space="preserve">Option C is correct. The Government of Wales Act 2006 requires that the Welsh and English texts of Acts of the Senedd be treated as of equal standing. Where there is a discrepancy, the interpretation principle is not to prefer one language over the other, but to seek a meaning that, to the greatest extent possible, reconciles both texts. The court will look at the purpose and context of the legislation (its </w:t>
      </w:r>
      <w:r w:rsidDel="00000000" w:rsidR="00000000" w:rsidRPr="00000000">
        <w:rPr>
          <w:rFonts w:ascii="Roboto" w:cs="Roboto" w:eastAsia="Roboto" w:hAnsi="Roboto"/>
          <w:i w:val="1"/>
          <w:iCs w:val="1"/>
          <w:color w:val="0f1115"/>
          <w:sz w:val="24"/>
          <w:szCs w:val="24"/>
          <w:rtl w:val="0"/>
        </w:rPr>
        <w:t xml:space="preserve">Gweledigaeth</w:t>
      </w:r>
      <w:r w:rsidDel="00000000" w:rsidR="00000000" w:rsidRPr="00000000">
        <w:rPr>
          <w:rFonts w:ascii="Roboto" w:cs="Roboto" w:eastAsia="Roboto" w:hAnsi="Roboto"/>
          <w:color w:val="0f1115"/>
          <w:sz w:val="24"/>
          <w:szCs w:val="24"/>
          <w:rtl w:val="0"/>
        </w:rPr>
        <w:t xml:space="preserve"> or vision, often found in the Explanatory Memorandum) to arrive at an interpretation that gives effect to both authentic texts.</w:t>
        <w:br w:type="textWrapping"/>
        <w:t xml:space="preserve">Option A is incorrect. The principle of equal authenticity is a cornerstone of Welsh devolved legislation.</w:t>
        <w:br w:type="textWrapping"/>
        <w:t xml:space="preserve">Option B is incorrect. While the subject matter is the Welsh language, this does not create a hierarchy of texts. Both are equally authentic.</w:t>
        <w:br w:type="textWrapping"/>
        <w:t xml:space="preserve">Option D is incorrect. It directly contravenes the statutory requirement to give equal standing to both texts.</w:t>
        <w:br w:type="textWrapping"/>
        <w:t xml:space="preserve">Option E is incorrect. It is the role of the court to interpret the legislation as enacted. The Senedd does not provide interpretive translations post-enactment.</w:t>
      </w:r>
    </w:p>
    <w:p w:rsidR="00000000" w:rsidDel="00000000" w:rsidP="00000000" w:rsidRDefault="00000000" w:rsidRPr="00000000" w14:paraId="0000010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1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"Business Rate Relief Act 2024" includes the following sections: Section 1: Main relief for small businesses. Section 2: Power to specify eligible business types. Section 3: Consequential amendments to the Local Government Finance Act 1988. Section 4: Regulations under section 2 to be made by statutory instrument. Section 5: Commencement. Section 6: Short Title. The Act also has two Schedules: Schedule 1 lists repealed enactments. Schedule 2 contains detailed formulas for calculating relief.</w:t>
        <w:br w:type="textWrapping"/>
        <w:t xml:space="preserve">A lawyer needs to understand the precise changes made to the 1988 Act. Where in the structure of the 2024 Act should the lawyer look for the detailed text of these changes?</w:t>
        <w:br w:type="textWrapping"/>
        <w:t xml:space="preserve">A. In the body of Section 3 itself.</w:t>
        <w:br w:type="textWrapping"/>
        <w:t xml:space="preserve">B. In Schedule 1 (Repeals).</w:t>
        <w:br w:type="textWrapping"/>
        <w:t xml:space="preserve">C. In Schedule 2 (Formulas).</w:t>
        <w:br w:type="textWrapping"/>
        <w:t xml:space="preserve">D. In an Explanatory Note published separately from the Act.</w:t>
        <w:br w:type="textWrapping"/>
        <w:t xml:space="preserve">E. In the Long Title.</w:t>
        <w:br w:type="textWrapping"/>
        <w:t xml:space="preserve">The correct option is B</w:t>
        <w:br w:type="textWrapping"/>
        <w:t xml:space="preserve">Explanation</w:t>
        <w:br w:type="textWrapping"/>
        <w:t xml:space="preserve">Option B is correct. A standard structural element of modern Acts is a "Repeals and Consequential Amendments" schedule. Section 3 is an "enabling section" that gives effect to the consequential amendments. The detailed text of those amendments—showing exactly which words are inserted, deleted, or substituted in the 1988 Act—will be set out in a table in a schedule, almost certainly Schedule 1 in this example. The schedule provides the granular detail, while the section in the main body gives it legal force.</w:t>
        <w:br w:type="textWrapping"/>
        <w:t xml:space="preserve">Option A is incorrect. Sections introducing consequential amendments typically do not contain the detailed text; they state that the amendments in the schedule have effect.</w:t>
        <w:br w:type="textWrapping"/>
        <w:t xml:space="preserve">Option C is incorrect. Schedule 2 deals with a different matter (formulas).</w:t>
        <w:br w:type="textWrapping"/>
        <w:t xml:space="preserve">Option D is incorrect. Explanatory Notes are helpful aids to interpretation but are not part of the Act and do not have legal force. The amendments must be in the Act itself.</w:t>
        <w:br w:type="textWrapping"/>
        <w:t xml:space="preserve">Option E is incorrect. The Long Title describes the Act's scope but does not contain legislative text.</w:t>
      </w:r>
    </w:p>
    <w:p w:rsidR="00000000" w:rsidDel="00000000" w:rsidP="00000000" w:rsidRDefault="00000000" w:rsidRPr="00000000" w14:paraId="000001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1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UK Parliament passes the "National Infrastructure Act 2025." Section 50 contains a regulation-making power. Section 50(7) states: "Regulations under this section may not be made unless a draft of the instrument has been laid before, and approved by a resolution of, each House of Parliament."</w:t>
        <w:br w:type="textWrapping"/>
        <w:t xml:space="preserve">Which of the following structural components of the Act best describes this sub-section?</w:t>
        <w:br w:type="textWrapping"/>
        <w:t xml:space="preserve">A. A commencement provision.</w:t>
        <w:br w:type="textWrapping"/>
        <w:t xml:space="preserve">B. A procedural condition concerning delegated legislation C. A substantive limitation on the scope of the regulation-making power.</w:t>
        <w:br w:type="textWrapping"/>
        <w:t xml:space="preserve">D. An interpretation clause.</w:t>
        <w:br w:type="textWrapping"/>
        <w:t xml:space="preserve">E. A territorial extent clause.</w:t>
        <w:br w:type="textWrapping"/>
        <w:t xml:space="preserve">The correct option is B</w:t>
        <w:br w:type="textWrapping"/>
        <w:t xml:space="preserve">Explanation</w:t>
        <w:br w:type="textWrapping"/>
        <w:t xml:space="preserve">Option B is correct. This is a classic example of a procedural condition attached to a delegated power. It specifies the parliamentary procedure that must be followed for regulations made under Section 50 to become law. The requirement for draft approval by both Houses is the "affirmative resolution procedure." Such provisions are a key part of the constitutional structure of an Act, controlling how executive power is exercised.</w:t>
        <w:br w:type="textWrapping"/>
        <w:t xml:space="preserve">Option A is incorrect. Commencement provisions deal with when the Act or its parts come into force.</w:t>
        <w:br w:type="textWrapping"/>
        <w:t xml:space="preserve">Option C is incorrect. While it is a limitation, it is a procedural limitation on how the power is exercised, not a substantive limitation on </w:t>
      </w:r>
      <w:r w:rsidDel="00000000" w:rsidR="00000000" w:rsidRPr="00000000">
        <w:rPr>
          <w:rFonts w:ascii="Roboto" w:cs="Roboto" w:eastAsia="Roboto" w:hAnsi="Roboto"/>
          <w:i w:val="1"/>
          <w:iCs w:val="1"/>
          <w:color w:val="0f1115"/>
          <w:sz w:val="24"/>
          <w:szCs w:val="24"/>
          <w:rtl w:val="0"/>
        </w:rPr>
        <w:t xml:space="preserve">what</w:t>
      </w:r>
      <w:r w:rsidDel="00000000" w:rsidR="00000000" w:rsidRPr="00000000">
        <w:rPr>
          <w:rFonts w:ascii="Roboto" w:cs="Roboto" w:eastAsia="Roboto" w:hAnsi="Roboto"/>
          <w:color w:val="0f1115"/>
          <w:sz w:val="24"/>
          <w:szCs w:val="24"/>
          <w:rtl w:val="0"/>
        </w:rPr>
        <w:t xml:space="preserve"> the regulations can cover (e.g., "regulations may not alter primary legislation" would be a substantive limitation).</w:t>
        <w:br w:type="textWrapping"/>
        <w:t xml:space="preserve">Option D is incorrect. Interpretation clauses define terms.</w:t>
        <w:br w:type="textWrapping"/>
        <w:t xml:space="preserve">Option E is incorrect. Extent clauses define the geographical jurisdiction of the Act (e.g., England and Wales only).</w:t>
      </w:r>
    </w:p>
    <w:p w:rsidR="00000000" w:rsidDel="00000000" w:rsidP="00000000" w:rsidRDefault="00000000" w:rsidRPr="00000000" w14:paraId="0000010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1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Senedd Cymru passes the "Historic Environment (Wales) Act 2024." Section 2 defines "monument of national significance." Section 45(1) states: "The Welsh Ministers may by regulations make provision about the management of scheduled monuments." Section 45(5) states: "Regulations under this section may not create a criminal offence punishable with imprisonment." The Act includes the standard Welsh clause: "Mae’r Ddeddf hon yn gyfreithiol yng Nghymru" ("This Act is law in Wales").</w:t>
        <w:br w:type="textWrapping"/>
        <w:t xml:space="preserve">What does Section 45(5) represent within the structure of this Act of the Senedd?</w:t>
        <w:br w:type="textWrapping"/>
        <w:t xml:space="preserve">A. A statement of the Act's legislative competence, reflecting a limit on the Senedd's powers.</w:t>
        <w:br w:type="textWrapping"/>
        <w:t xml:space="preserve">B. A procedural requirement for making regulations.</w:t>
        <w:br w:type="textWrapping"/>
        <w:t xml:space="preserve">C. A substantive manner and form restriction on the content of the delegated legislation.</w:t>
        <w:br w:type="textWrapping"/>
        <w:t xml:space="preserve">D. An interpretation provision for the term "criminal offence."</w:t>
        <w:br w:type="textWrapping"/>
        <w:t xml:space="preserve">E. A commencement provision for the regulations.</w:t>
        <w:br w:type="textWrapping"/>
        <w:t xml:space="preserve">The correct option is C</w:t>
        <w:br w:type="textWrapping"/>
        <w:t xml:space="preserve">Explanation</w:t>
        <w:br w:type="textWrapping"/>
        <w:t xml:space="preserve">Option C is correct. Section 45(5) is a substantive restriction placed on the content of the regulations that can be made under the enabling power in Section 45(1). It dictates the "manner and form" of the subordinate legislation by prohibiting a specific type of content (offences with imprisonment). This is a common drafting technique to limit the scope of wide regulation-making powers.</w:t>
        <w:br w:type="textWrapping"/>
        <w:t xml:space="preserve">Option A is incorrect. While the Senedd cannot generally create criminal offences with imprisonment exceeding 6 months (due to limits in Schedule 7B to the Government of Wales Act 2006), this sub-section is a self-imposed restriction within the Act, not a direct statement of competence. The clause on the Act being law in Wales is about extent/application, not competence.</w:t>
        <w:br w:type="textWrapping"/>
        <w:t xml:space="preserve">Option B is incorrect. It does not describe a parliamentary or administrative procedure (like laying before the Senedd); it restricts the content.</w:t>
        <w:br w:type="textWrapping"/>
        <w:t xml:space="preserve">Option D is incorrect. It does not define a term; it imposes a prohibition.</w:t>
        <w:br w:type="textWrapping"/>
        <w:t xml:space="preserve">Option E is incorrect. It has nothing to do with when the regulations take effect.</w:t>
      </w:r>
    </w:p>
    <w:p w:rsidR="00000000" w:rsidDel="00000000" w:rsidP="00000000" w:rsidRDefault="00000000" w:rsidRPr="00000000" w14:paraId="000001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1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"Financial Services and Markets Act 2023" is a large UK statute. Towards its end, it contains a Section 412 titled "Index of defined expressions." This section lists terms like "the regulator," "designated activity," and "consumer" and states the section or schedule in which each is defined.</w:t>
        <w:br w:type="textWrapping"/>
        <w:t xml:space="preserve">What is the primary practical purpose of including such a section in the structure of an Act?</w:t>
        <w:br w:type="textWrapping"/>
        <w:t xml:space="preserve">A. To confer powers on the Secretary of State.</w:t>
        <w:br w:type="textWrapping"/>
        <w:t xml:space="preserve">B. To aid the readability and navigation of the Act by providing a quick reference guide to key terms.</w:t>
        <w:br w:type="textWrapping"/>
        <w:t xml:space="preserve">C. To amend previous Acts of Parliament.</w:t>
        <w:br w:type="textWrapping"/>
        <w:t xml:space="preserve">D. To specify the territorial extent of the Act's provisions.</w:t>
        <w:br w:type="textWrapping"/>
        <w:t xml:space="preserve">E. To list the Schedules that form part of the Act.</w:t>
        <w:br w:type="textWrapping"/>
        <w:t xml:space="preserve">The correct option is B</w:t>
        <w:br w:type="textWrapping"/>
        <w:t xml:space="preserve">Explanation</w:t>
        <w:br w:type="textWrapping"/>
        <w:t xml:space="preserve">Option B is correct. An "Index of defined expressions" is a common feature in lengthy and complex modern statutes. Its sole purpose is to improve accessibility and usability. It acts as an internal glossary or map, helping readers (lawyers, judges, officials, and the public) quickly locate the precise definition of a technical term used throughout the Act, without having to search through multiple interpretation sections.</w:t>
        <w:br w:type="textWrapping"/>
        <w:t xml:space="preserve">Option A is incorrect. Such a section does not confer powers; it is an interpretive aid.</w:t>
        <w:br w:type="textWrapping"/>
        <w:t xml:space="preserve">Option C is incorrect. That is the function of a "consequential amendments" schedule or section.</w:t>
        <w:br w:type="textWrapping"/>
        <w:t xml:space="preserve">Option D is incorrect. That is the function of an "extent" section.</w:t>
        <w:br w:type="textWrapping"/>
        <w:t xml:space="preserve">Option E is incorrect. The Schedules are listed after the sections, and their existence is apparent from the table of contents.</w:t>
      </w:r>
    </w:p>
    <w:p w:rsidR="00000000" w:rsidDel="00000000" w:rsidP="00000000" w:rsidRDefault="00000000" w:rsidRPr="00000000" w14:paraId="000001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1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"Health and Social Care (Integration) Act 2024" is an Act of the UK Parliament. It has a "Part 1" applicable to England only, a "Part 2" applicable to Scotland only (with the consent of the Scottish Parliament), and a "Part 3" that applies to England and Wales. The Act contains a final section titled "Extent."</w:t>
      </w:r>
    </w:p>
    <w:p w:rsidR="00000000" w:rsidDel="00000000" w:rsidP="00000000" w:rsidRDefault="00000000" w:rsidRPr="00000000" w14:paraId="000001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would this extent section most likely contain?</w:t>
        <w:br w:type="textWrapping"/>
        <w:t xml:space="preserve">A. A detailed list of every town and city where the Act applies.</w:t>
        <w:br w:type="textWrapping"/>
        <w:t xml:space="preserve">B. A statement that the Act extends to England and Wales, Scotland, and Northern Ireland.</w:t>
        <w:br w:type="textWrapping"/>
        <w:t xml:space="preserve">C. A provision specifying which Parts of the Act extend to which legal jurisdictions of the United Kingdom.</w:t>
        <w:br w:type="textWrapping"/>
        <w:t xml:space="preserve">D. A provision stating the date on which each Part of the Act comes into force.</w:t>
        <w:br w:type="textWrapping"/>
        <w:t xml:space="preserve">E. A list of other Acts that are repealed by this Act.</w:t>
        <w:br w:type="textWrapping"/>
        <w:t xml:space="preserve">The correct option is C</w:t>
        <w:br w:type="textWrapping"/>
        <w:t xml:space="preserve">Explanation</w:t>
        <w:br w:type="textWrapping"/>
        <w:t xml:space="preserve">Option C is correct. "Extent" in legislative drafting refers to the geographical jurisdiction or legal territory to which an Act or part of an Act applies. Given the devolved settlements, modern UK Acts often have differential extent. An Extent section would precisely delineate this, e.g., "Part 1 extends to England only. Part 2 extends to Scotland only. Part 3 extends to England and Wales." This is distinct from "commencement" (when it takes effect) and "application" (to whom or what it applies within that territory).</w:t>
        <w:br w:type="textWrapping"/>
        <w:t xml:space="preserve">Option A is incorrect. Extent is defined by legal jurisdiction, not by locality.</w:t>
        <w:br w:type="textWrapping"/>
        <w:t xml:space="preserve">Option B is incorrect. It is unlikely given the described structure that the </w:t>
      </w:r>
      <w:r w:rsidDel="00000000" w:rsidR="00000000" w:rsidRPr="00000000">
        <w:rPr>
          <w:rFonts w:ascii="Roboto" w:cs="Roboto" w:eastAsia="Roboto" w:hAnsi="Roboto"/>
          <w:i w:val="1"/>
          <w:iCs w:val="1"/>
          <w:color w:val="0f1115"/>
          <w:sz w:val="24"/>
          <w:szCs w:val="24"/>
          <w:rtl w:val="0"/>
        </w:rPr>
        <w:t xml:space="preserve">whole</w:t>
      </w:r>
      <w:r w:rsidDel="00000000" w:rsidR="00000000" w:rsidRPr="00000000">
        <w:rPr>
          <w:rFonts w:ascii="Roboto" w:cs="Roboto" w:eastAsia="Roboto" w:hAnsi="Roboto"/>
          <w:color w:val="0f1115"/>
          <w:sz w:val="24"/>
          <w:szCs w:val="24"/>
          <w:rtl w:val="0"/>
        </w:rPr>
        <w:t xml:space="preserve"> Act extends to all parts of the UK. The Extent section would reflect the nuanced approach described.</w:t>
        <w:br w:type="textWrapping"/>
        <w:t xml:space="preserve">Option D is incorrect. That is the subject of a "Commencement" section.</w:t>
        <w:br w:type="textWrapping"/>
        <w:t xml:space="preserve">Option E is incorrect. That is the subject of a "Repeals" schedule.</w:t>
      </w:r>
    </w:p>
    <w:p w:rsidR="00000000" w:rsidDel="00000000" w:rsidP="00000000" w:rsidRDefault="00000000" w:rsidRPr="00000000" w14:paraId="000001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1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Senedd Cymru passes the "Agricultural Holdings (Wales) Act 2024." It includes a standard form of words in Section 1: "The Agricultural Holdings Act 1986 is amended as follows.” This is followed by a series of subsections stating "In section 5, for ‘twelve’ substitute ‘sixteen’" and so on. The Act is accompanied by an "Explanatory Memorandum" (EM) laid before the Senedd.</w:t>
      </w:r>
    </w:p>
    <w:p w:rsidR="00000000" w:rsidDel="00000000" w:rsidP="00000000" w:rsidRDefault="00000000" w:rsidRPr="00000000" w14:paraId="000001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primary legal status of this Explanatory Memorandum?</w:t>
      </w:r>
    </w:p>
    <w:p w:rsidR="00000000" w:rsidDel="00000000" w:rsidP="00000000" w:rsidRDefault="00000000" w:rsidRPr="00000000" w14:paraId="000001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It is an integral part of the Act and has the same legal force as the sections themselves.</w:t>
        <w:br w:type="textWrapping"/>
        <w:t xml:space="preserve">B. It is a document prepared by the Welsh Government to explain the purpose and effect of the Act, but it is not part of the Act.</w:t>
        <w:br w:type="textWrapping"/>
        <w:t xml:space="preserve">C. It is the official Welsh-language translation of the English-text Act.</w:t>
        <w:br w:type="textWrapping"/>
        <w:t xml:space="preserve">D. It is a record of the debates in the Senedd during the Act's passage.</w:t>
        <w:br w:type="textWrapping"/>
        <w:t xml:space="preserve">E. It is a binding judicial interpretation issued by the Presiding Officer.</w:t>
        <w:br w:type="textWrapping"/>
        <w:t xml:space="preserve">The correct option is B</w:t>
        <w:br w:type="textWrapping"/>
        <w:t xml:space="preserve">Explanation</w:t>
        <w:br w:type="textWrapping"/>
        <w:t xml:space="preserve">Option B is correct. For Acts of the Senedd, an Explanatory Memorandum (EM) is a required document that accompanies the Bill during its passage. Its purpose is to explain the legal and policy objectives of the Bill, its financial implications, and its effects. It is a vital aid to interpretation for the courts (under the </w:t>
      </w:r>
      <w:r w:rsidDel="00000000" w:rsidR="00000000" w:rsidRPr="00000000">
        <w:rPr>
          <w:rFonts w:ascii="Roboto" w:cs="Roboto" w:eastAsia="Roboto" w:hAnsi="Roboto"/>
          <w:i w:val="1"/>
          <w:iCs w:val="1"/>
          <w:color w:val="0f1115"/>
          <w:sz w:val="24"/>
          <w:szCs w:val="24"/>
          <w:rtl w:val="0"/>
        </w:rPr>
        <w:t xml:space="preserve">Pepper v Hart</w:t>
      </w:r>
      <w:r w:rsidDel="00000000" w:rsidR="00000000" w:rsidRPr="00000000">
        <w:rPr>
          <w:rFonts w:ascii="Roboto" w:cs="Roboto" w:eastAsia="Roboto" w:hAnsi="Roboto"/>
          <w:color w:val="0f1115"/>
          <w:sz w:val="24"/>
          <w:szCs w:val="24"/>
          <w:rtl w:val="0"/>
        </w:rPr>
        <w:t xml:space="preserve"> principle), but it is not part of the enacted law. It is a extrinsic aid to construction.</w:t>
      </w:r>
    </w:p>
    <w:p w:rsidR="00000000" w:rsidDel="00000000" w:rsidP="00000000" w:rsidRDefault="00000000" w:rsidRPr="00000000" w14:paraId="000001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A is incorrect. Only the text of the Act itself (sections and schedules) has legal force.</w:t>
        <w:br w:type="textWrapping"/>
        <w:t xml:space="preserve">Option C is incorrect. The official Welsh text is part of the Act itself, not a separate EM.</w:t>
        <w:br w:type="textWrapping"/>
        <w:t xml:space="preserve">Option D is incorrect. That is the function of the Official Report (</w:t>
      </w:r>
      <w:r w:rsidDel="00000000" w:rsidR="00000000" w:rsidRPr="00000000">
        <w:rPr>
          <w:rFonts w:ascii="Roboto" w:cs="Roboto" w:eastAsia="Roboto" w:hAnsi="Roboto"/>
          <w:i w:val="1"/>
          <w:iCs w:val="1"/>
          <w:color w:val="0f1115"/>
          <w:sz w:val="24"/>
          <w:szCs w:val="24"/>
          <w:rtl w:val="0"/>
        </w:rPr>
        <w:t xml:space="preserve">Hansard</w:t>
      </w:r>
      <w:r w:rsidDel="00000000" w:rsidR="00000000" w:rsidRPr="00000000">
        <w:rPr>
          <w:rFonts w:ascii="Roboto" w:cs="Roboto" w:eastAsia="Roboto" w:hAnsi="Roboto"/>
          <w:color w:val="0f1115"/>
          <w:sz w:val="24"/>
          <w:szCs w:val="24"/>
          <w:rtl w:val="0"/>
        </w:rPr>
        <w:t xml:space="preserve">).</w:t>
        <w:br w:type="textWrapping"/>
        <w:t xml:space="preserve">Option E is incorrect. The Presiding Officer certifies the Bill's introduction and compatibility, but does not issue binding interpretations.</w:t>
      </w:r>
    </w:p>
    <w:p w:rsidR="00000000" w:rsidDel="00000000" w:rsidP="00000000" w:rsidRDefault="00000000" w:rsidRPr="00000000" w14:paraId="000001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r>
    </w:p>
    <w:p w:rsidR="00000000" w:rsidDel="00000000" w:rsidP="00000000" w:rsidRDefault="00000000" w:rsidRPr="00000000" w14:paraId="000001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UK Act, the "Transport Security Act 2025," contains a Schedule 3 titled "Minor and Consequential Amendments." Paragraph 15 of Schedule 3 states: "In the Railways Act 1993, in section 45A(2), omit ‘, other than in Scotland’."</w:t>
        <w:br w:type="textWrapping"/>
        <w:t xml:space="preserve">Which of the following is the CORRECT description of this legislative technique?</w:t>
        <w:br w:type="textWrapping"/>
        <w:t xml:space="preserve">A. It is a free-standing substantive provision creating a new offence.</w:t>
        <w:br w:type="textWrapping"/>
        <w:t xml:space="preserve">B. It is a textual amendment to an existing Act, integrated into the structure of the new Act via a schedule.</w:t>
        <w:br w:type="textWrapping"/>
        <w:t xml:space="preserve">C. It is a commencement order bringing the Railways Act 1993 into force.</w:t>
        <w:br w:type="textWrapping"/>
        <w:t xml:space="preserve">D. It is a repeal of the entire Railways Act 1993.</w:t>
        <w:br w:type="textWrapping"/>
        <w:t xml:space="preserve">E. It is an interpretation clause defining "Transport Security."</w:t>
        <w:br w:type="textWrapping"/>
        <w:t xml:space="preserve">The correct option is B</w:t>
        <w:br w:type="textWrapping"/>
        <w:t xml:space="preserve">Explanation</w:t>
        <w:br w:type="textWrapping"/>
        <w:t xml:space="preserve">Option B is correct. This is the standard method for making amendments to prior ("parent") Acts. The amendment is not written out as a new, separate law. Instead, the new Act instructs the reader to change the text of the old Act. These instructions are often collected in a "Consequential Amendments" schedule for clarity, keeping the main body of the new Act focused on its principal provisions. The instruction "omit ‘, other than in Scotland’" will, once the 2025 Act is in force, physically delete those words from section 45A(2) of the 1993 Act.</w:t>
        <w:br w:type="textWrapping"/>
        <w:t xml:space="preserve">Option A is incorrect. It is an amendment, not a free-standing provision.</w:t>
        <w:br w:type="textWrapping"/>
        <w:t xml:space="preserve">Option C is incorrect. It amends an already-in-force Act; it does not deal with commencement.</w:t>
        <w:br w:type="textWrapping"/>
        <w:t xml:space="preserve">Option D is incorrect. It is a minor, specific amendment, not a wholesale repeal.</w:t>
        <w:br w:type="textWrapping"/>
        <w:t xml:space="preserve">Option E is incorrect. It is an amendment, not a definition.</w:t>
      </w:r>
    </w:p>
    <w:p w:rsidR="00000000" w:rsidDel="00000000" w:rsidP="00000000" w:rsidRDefault="00000000" w:rsidRPr="00000000" w14:paraId="0000011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r>
    </w:p>
    <w:p w:rsidR="00000000" w:rsidDel="00000000" w:rsidP="00000000" w:rsidRDefault="00000000" w:rsidRPr="00000000" w14:paraId="0000011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"Local Democracy Act 2024" is an Act of the Senedd Cymru. Its final section states: "This Act comes into force at the end of the period of two months beginning with the day on which it receives Royal Assent." There is no other commencement provision.</w:t>
        <w:br w:type="textWrapping"/>
        <w:t xml:space="preserve">What is the correct consequence of this structure?</w:t>
        <w:br w:type="textWrapping"/>
        <w:t xml:space="preserve">A. The entire Act is not law until the Welsh Ministers make commencement regulations.</w:t>
        <w:br w:type="textWrapping"/>
        <w:t xml:space="preserve">B. The entire Act automatically comes into force on a single, specified date (two months after Royal Assent).</w:t>
        <w:br w:type="textWrapping"/>
        <w:t xml:space="preserve">C. Different parts of the Act will come into force on different dates as specified by the Presiding Officer.</w:t>
        <w:br w:type="textWrapping"/>
        <w:t xml:space="preserve">D. The Act is not valid because it lacks a detailed commencement schedule.</w:t>
        <w:br w:type="textWrapping"/>
        <w:t xml:space="preserve">E. The Act came into force on the day it received Royal Assent.</w:t>
        <w:br w:type="textWrapping"/>
        <w:t xml:space="preserve">The correct option is B</w:t>
        <w:br w:type="textWrapping"/>
        <w:t xml:space="preserve">Explanation</w:t>
        <w:br w:type="textWrapping"/>
        <w:t xml:space="preserve">Option B is correct. This is a standard "default" or "automatic" commencement provision. It provides a single, fixed date for the entire Act to come into force, calculated by reference to Royal Assent. No further ministerial action (a commencement order) is required. This is a common and valid approach for less complex Acts where a single commencement date is suitable.</w:t>
        <w:br w:type="textWrapping"/>
        <w:t xml:space="preserve">Option A is incorrect. That would be the case if the Act said "comes into force on a day to be appointed by the Welsh Ministers."</w:t>
        <w:br w:type="textWrapping"/>
        <w:t xml:space="preserve">Option C is incorrect. Staged commencement requires either different dates specified in the Act or a power for ministers to appoint different days. This provision has neither.</w:t>
        <w:br w:type="textWrapping"/>
        <w:t xml:space="preserve">Option D is incorrect. There is no legal requirement for a detailed commencement schedule. A single-section commencement provision is perfectly valid.</w:t>
        <w:br w:type="textWrapping"/>
        <w:t xml:space="preserve">Option E is incorrect. The provision explicitly overrides the default rule (that an Act comes into force on Royal Assent) by setting a later date.</w:t>
      </w:r>
    </w:p>
    <w:p w:rsidR="00000000" w:rsidDel="00000000" w:rsidP="00000000" w:rsidRDefault="00000000" w:rsidRPr="00000000" w14:paraId="0000011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r>
    </w:p>
    <w:p w:rsidR="00000000" w:rsidDel="00000000" w:rsidP="00000000" w:rsidRDefault="00000000" w:rsidRPr="00000000" w14:paraId="00000115">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UK Parliament passes the "Data Protection and Digital Information Act 2024." Section 1 states: "The Data Protection Act 2018 is amended in accordance with subsections (2) to (4)." Subsection (2) states: "In section 3(10), after ‘regulation’ insert ‘, or as otherwise provided for in regulations under section 18A’." Section 18A is a </w:t>
      </w:r>
      <w:r w:rsidDel="00000000" w:rsidR="00000000" w:rsidRPr="00000000">
        <w:rPr>
          <w:rFonts w:ascii="Roboto" w:cs="Roboto" w:eastAsia="Roboto" w:hAnsi="Roboto"/>
          <w:i w:val="1"/>
          <w:iCs w:val="1"/>
          <w:color w:val="0f1115"/>
          <w:sz w:val="24"/>
          <w:szCs w:val="24"/>
          <w:rtl w:val="0"/>
        </w:rPr>
        <w:t xml:space="preserve">new</w:t>
      </w:r>
      <w:r w:rsidDel="00000000" w:rsidR="00000000" w:rsidRPr="00000000">
        <w:rPr>
          <w:rFonts w:ascii="Roboto" w:cs="Roboto" w:eastAsia="Roboto" w:hAnsi="Roboto"/>
          <w:color w:val="0f1115"/>
          <w:sz w:val="24"/>
          <w:szCs w:val="24"/>
          <w:rtl w:val="0"/>
        </w:rPr>
        <w:t xml:space="preserve"> section being added to the 2018 Act by the 2024 Act.</w:t>
        <w:br w:type="textWrapping"/>
        <w:t xml:space="preserve">Which of the following is the BEST description of the relationship between Section 1(2) of the 2024 Act and the </w:t>
      </w:r>
      <w:r w:rsidDel="00000000" w:rsidR="00000000" w:rsidRPr="00000000">
        <w:rPr>
          <w:rFonts w:ascii="Roboto" w:cs="Roboto" w:eastAsia="Roboto" w:hAnsi="Roboto"/>
          <w:i w:val="1"/>
          <w:iCs w:val="1"/>
          <w:color w:val="0f1115"/>
          <w:sz w:val="24"/>
          <w:szCs w:val="24"/>
          <w:rtl w:val="0"/>
        </w:rPr>
        <w:t xml:space="preserve">new</w:t>
      </w:r>
      <w:r w:rsidDel="00000000" w:rsidR="00000000" w:rsidRPr="00000000">
        <w:rPr>
          <w:rFonts w:ascii="Roboto" w:cs="Roboto" w:eastAsia="Roboto" w:hAnsi="Roboto"/>
          <w:color w:val="0f1115"/>
          <w:sz w:val="24"/>
          <w:szCs w:val="24"/>
          <w:rtl w:val="0"/>
        </w:rPr>
        <w:t xml:space="preserve"> Section 18A?</w:t>
        <w:br w:type="textWrapping"/>
        <w:t xml:space="preserve">A. Section 1(2) is dependent on Section 18A; if Section 18A were invalid, the amendment in Section 1(2) would be meaningless.</w:t>
        <w:br w:type="textWrapping"/>
        <w:t xml:space="preserve">B. Section 1(2) and Section 18A are independent; either could be repealed without affecting the other.</w:t>
        <w:br w:type="textWrapping"/>
        <w:t xml:space="preserve">C. Section 18A defines the territorial extent of the amendment made by Section 1(2).</w:t>
        <w:br w:type="textWrapping"/>
        <w:t xml:space="preserve">D. Section 1(2) commences Section 18A into force.</w:t>
        <w:br w:type="textWrapping"/>
        <w:t xml:space="preserve">E. The amendment in Section 1(2) is a drafting error because it refers to a section that does not exist in the 2018 Act at the time the 2024 Act is passed.</w:t>
        <w:br w:type="textWrapping"/>
        <w:t xml:space="preserve">The correct option is A</w:t>
        <w:br w:type="textWrapping"/>
        <w:t xml:space="preserve">Explanation</w:t>
        <w:br w:type="textWrapping"/>
        <w:t xml:space="preserve">Option A is correct. This illustrates the interconnected structure of amending legislation. The 2024 Act is doing two things simultaneously: (1) inserting a </w:t>
      </w:r>
      <w:r w:rsidDel="00000000" w:rsidR="00000000" w:rsidRPr="00000000">
        <w:rPr>
          <w:rFonts w:ascii="Roboto" w:cs="Roboto" w:eastAsia="Roboto" w:hAnsi="Roboto"/>
          <w:i w:val="1"/>
          <w:iCs w:val="1"/>
          <w:color w:val="0f1115"/>
          <w:sz w:val="24"/>
          <w:szCs w:val="24"/>
          <w:rtl w:val="0"/>
        </w:rPr>
        <w:t xml:space="preserve">new</w:t>
      </w:r>
      <w:r w:rsidDel="00000000" w:rsidR="00000000" w:rsidRPr="00000000">
        <w:rPr>
          <w:rFonts w:ascii="Roboto" w:cs="Roboto" w:eastAsia="Roboto" w:hAnsi="Roboto"/>
          <w:color w:val="0f1115"/>
          <w:sz w:val="24"/>
          <w:szCs w:val="24"/>
          <w:rtl w:val="0"/>
        </w:rPr>
        <w:t xml:space="preserve"> Section 18A into the 2018 Act, and (2) amending an </w:t>
      </w:r>
      <w:r w:rsidDel="00000000" w:rsidR="00000000" w:rsidRPr="00000000">
        <w:rPr>
          <w:rFonts w:ascii="Roboto" w:cs="Roboto" w:eastAsia="Roboto" w:hAnsi="Roboto"/>
          <w:i w:val="1"/>
          <w:iCs w:val="1"/>
          <w:color w:val="0f1115"/>
          <w:sz w:val="24"/>
          <w:szCs w:val="24"/>
          <w:rtl w:val="0"/>
        </w:rPr>
        <w:t xml:space="preserve">existing</w:t>
      </w:r>
      <w:r w:rsidDel="00000000" w:rsidR="00000000" w:rsidRPr="00000000">
        <w:rPr>
          <w:rFonts w:ascii="Roboto" w:cs="Roboto" w:eastAsia="Roboto" w:hAnsi="Roboto"/>
          <w:color w:val="0f1115"/>
          <w:sz w:val="24"/>
          <w:szCs w:val="24"/>
          <w:rtl w:val="0"/>
        </w:rPr>
        <w:t xml:space="preserve"> provision (Section 3(10)) to refer to that new section. The amendment in Section 1(2) is therefore contingent on the creation of Section 18A. If, hypothetically, the provision inserting Section 18A were itself invalidated, the reference in the amended Section 3(10) would be to a non-existent provision, creating ambiguity. The provisions are logically dependent.</w:t>
      </w:r>
    </w:p>
    <w:p w:rsidR="00000000" w:rsidDel="00000000" w:rsidP="00000000" w:rsidRDefault="00000000" w:rsidRPr="00000000" w14:paraId="00000116">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B is incorrect. They are substantively linked.</w:t>
        <w:br w:type="textWrapping"/>
        <w:t xml:space="preserve">Option C is incorrect. Extent is dealt with by separate provisions.</w:t>
        <w:br w:type="textWrapping"/>
        <w:t xml:space="preserve">Option D is incorrect. Commencement is dealt with by a separate section. The amendment does not "commence" the new section; it creates a reference to it.</w:t>
        <w:br w:type="textWrapping"/>
        <w:t xml:space="preserve">Option E is incorrect. This is standard and valid legislative practice. The 2024 Act creates Section 18A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creates a reference to it. Both changes take effect at the same time upon commencement.</w:t>
      </w:r>
    </w:p>
    <w:p w:rsidR="00000000" w:rsidDel="00000000" w:rsidP="00000000" w:rsidRDefault="00000000" w:rsidRPr="00000000" w14:paraId="00000117">
      <w:pPr>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D </w:t>
      </w:r>
      <w:r w:rsidDel="00000000" w:rsidR="00000000" w:rsidRPr="00000000">
        <w:rPr>
          <w:rFonts w:ascii="Roboto" w:cs="Roboto" w:eastAsia="Roboto" w:hAnsi="Roboto"/>
          <w:color w:val="ff0000"/>
          <w:sz w:val="24"/>
          <w:szCs w:val="24"/>
          <w:rtl w:val="0"/>
        </w:rPr>
        <w:t xml:space="preserve">- Statutory interpretation:</w:t>
      </w:r>
      <w:r w:rsidDel="00000000" w:rsidR="00000000" w:rsidRPr="00000000">
        <w:rPr>
          <w:rtl w:val="0"/>
        </w:rPr>
      </w:r>
    </w:p>
    <w:p w:rsidR="00000000" w:rsidDel="00000000" w:rsidP="00000000" w:rsidRDefault="00000000" w:rsidRPr="00000000" w14:paraId="00000118">
      <w:pPr>
        <w:shd w:fill="ffffff" w:val="clear"/>
        <w:spacing w:after="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19">
      <w:pPr>
        <w:shd w:fill="ffffff" w:val="clea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11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Dangerous Dogs Act 1991 contains a provision stating: "It is an offence for any person to 'sell or offer for sale' any pit bull terrier." A pet shop owner places a pit bull terrier in his shop window with a price tag attached. He is charged under the Act. His defence is that displaying the dog was an 'invitation to treat' at common law, not an 'offer for sale,' and therefore no offence was committed.</w:t>
        <w:br w:type="textWrapping"/>
        <w:t xml:space="preserve">Which rule of statutory interpretation would a court applying the literal rule, be most likely to use to decide this case?</w:t>
        <w:br w:type="textWrapping"/>
        <w:t xml:space="preserve">A. Apply the golden rule to avoid the absurd result of allowing dangerous dogs to be openly advertised.</w:t>
        <w:br w:type="textWrapping"/>
        <w:t xml:space="preserve">B. Look at the historical context of the Act to see what 'mischief' Parliament intended to prevent.</w:t>
        <w:br w:type="textWrapping"/>
        <w:t xml:space="preserve">C. Give the words offer for sale their ordinary, literal meaning as understood in contract law.</w:t>
        <w:br w:type="textWrapping"/>
        <w:t xml:space="preserve">D. Interpret the phrase 'offer for sale in light of the overall purpose of the Act to protect the public.</w:t>
        <w:br w:type="textWrapping"/>
        <w:t xml:space="preserve">E. Read the phrase as meaning 'expose or possess for sale' to give effect to Parliament's clear intention.</w:t>
        <w:br w:type="textWrapping"/>
        <w:t xml:space="preserve">The correct option is C</w:t>
        <w:br w:type="textWrapping"/>
        <w:t xml:space="preserve">Explanation</w:t>
        <w:br w:type="textWrapping"/>
        <w:t xml:space="preserve">Option C is correct. The literal rule requires the court to give words their plain, ordinary meaning as they would be understood by a reasonable person, without reference to the consequences. In contract law, the display of goods with a price tag is traditionally an 'invitation to treat,' not an 'offer for sale.' A literalist judge, as in the case of </w:t>
      </w:r>
      <w:r w:rsidDel="00000000" w:rsidR="00000000" w:rsidRPr="00000000">
        <w:rPr>
          <w:rFonts w:ascii="Roboto" w:cs="Roboto" w:eastAsia="Roboto" w:hAnsi="Roboto"/>
          <w:i w:val="1"/>
          <w:iCs w:val="1"/>
          <w:color w:val="0f1115"/>
          <w:sz w:val="24"/>
          <w:szCs w:val="24"/>
          <w:rtl w:val="0"/>
        </w:rPr>
        <w:t xml:space="preserve">Fisher v Bell [1961]</w:t>
      </w:r>
      <w:r w:rsidDel="00000000" w:rsidR="00000000" w:rsidRPr="00000000">
        <w:rPr>
          <w:rFonts w:ascii="Roboto" w:cs="Roboto" w:eastAsia="Roboto" w:hAnsi="Roboto"/>
          <w:color w:val="0f1115"/>
          <w:sz w:val="24"/>
          <w:szCs w:val="24"/>
          <w:rtl w:val="0"/>
        </w:rPr>
        <w:t xml:space="preserve">, would likely acquit, even if it seems to frustrate the Act's purpose. The rule prioritises the certainty of the statutory text over perceived intent.</w:t>
        <w:br w:type="textWrapping"/>
        <w:t xml:space="preserve">Option A is incorrect; the golden rule is used to modify the literal meaning to avoid an absurdity, not to apply the literal meaning itself.</w:t>
        <w:br w:type="textWrapping"/>
        <w:t xml:space="preserve">Option B is incorrect; this describes the mischief rule.</w:t>
        <w:br w:type="textWrapping"/>
        <w:t xml:space="preserve">Option D is incorrect; this describes the purposive approach, which is broader than the literal rule.</w:t>
        <w:br w:type="textWrapping"/>
        <w:t xml:space="preserve">Option E is incorrect; this is an example of applying the golden or mischief rule to modify the literal meaning.</w:t>
      </w:r>
    </w:p>
    <w:p w:rsidR="00000000" w:rsidDel="00000000" w:rsidP="00000000" w:rsidRDefault="00000000" w:rsidRPr="00000000" w14:paraId="0000011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1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Road Traffic Act 1988 states: "A person who drives a mechanically propelled vehicle on a road or other public place must be properly insured." In a case before the magistrates' court, the defendant was seen driving a ride-on lawnmower on a public park pathway to get from his home to a neighbouring allotment. The lawnmower is mechanically propelled and capable of 8 mph. He has no insurance for it. His defence is that a lawnmower is not a "vehicle" within the ordinary meaning of the Act.</w:t>
        <w:br w:type="textWrapping"/>
      </w:r>
    </w:p>
    <w:p w:rsidR="00000000" w:rsidDel="00000000" w:rsidP="00000000" w:rsidRDefault="00000000" w:rsidRPr="00000000" w14:paraId="0000011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Applying the literal rule, how is a court MOST LIKELY to interpret the word "vehicle"?</w:t>
        <w:br w:type="textWrapping"/>
        <w:t xml:space="preserve">A. It would interpret "vehicle" in light of the Act's purpose to promote road safety, thus including the lawnmower.</w:t>
        <w:br w:type="textWrapping"/>
        <w:t xml:space="preserve">B. It would look at the dictionary definition of vehicle as a means of conveyance and likely conclude the lawnmower is included.</w:t>
        <w:br w:type="textWrapping"/>
        <w:t xml:space="preserve">C. It would apply the golden rule to exclude the lawnmower, as it would be absurd to require insurance for a gardening tool.</w:t>
        <w:br w:type="textWrapping"/>
        <w:t xml:space="preserve">D. It would examine the historical problem of uninsured drivers that the Act was meant to remedy.</w:t>
        <w:br w:type="textWrapping"/>
        <w:t xml:space="preserve">E. It would rule that "vehicle" is ambiguous and refer to the </w:t>
      </w:r>
      <w:r w:rsidDel="00000000" w:rsidR="00000000" w:rsidRPr="00000000">
        <w:rPr>
          <w:rFonts w:ascii="Roboto" w:cs="Roboto" w:eastAsia="Roboto" w:hAnsi="Roboto"/>
          <w:i w:val="1"/>
          <w:iCs w:val="1"/>
          <w:color w:val="0f1115"/>
          <w:sz w:val="24"/>
          <w:szCs w:val="24"/>
          <w:rtl w:val="0"/>
        </w:rPr>
        <w:t xml:space="preserve">travaux préparatoires</w:t>
      </w:r>
      <w:r w:rsidDel="00000000" w:rsidR="00000000" w:rsidRPr="00000000">
        <w:rPr>
          <w:rFonts w:ascii="Roboto" w:cs="Roboto" w:eastAsia="Roboto" w:hAnsi="Roboto"/>
          <w:color w:val="0f1115"/>
          <w:sz w:val="24"/>
          <w:szCs w:val="24"/>
          <w:rtl w:val="0"/>
        </w:rPr>
        <w:t xml:space="preserve"> of the Act.</w:t>
        <w:br w:type="textWrapping"/>
        <w:t xml:space="preserve">The correct option is B</w:t>
        <w:br w:type="textWrapping"/>
        <w:t xml:space="preserve">Explanation</w:t>
        <w:br w:type="textWrapping"/>
        <w:t xml:space="preserve">Option B is correct. The literal rule starts with the ordinary, dictionary meaning of the word. A "vehicle" is commonly defined as a "thing used for transporting people or goods." A ride-on lawnmower used for conveyance on a public place fits this literal definition. The court's likely conclusion, as in cases like </w:t>
      </w:r>
      <w:r w:rsidDel="00000000" w:rsidR="00000000" w:rsidRPr="00000000">
        <w:rPr>
          <w:rFonts w:ascii="Roboto" w:cs="Roboto" w:eastAsia="Roboto" w:hAnsi="Roboto"/>
          <w:i w:val="1"/>
          <w:iCs w:val="1"/>
          <w:color w:val="0f1115"/>
          <w:sz w:val="24"/>
          <w:szCs w:val="24"/>
          <w:rtl w:val="0"/>
        </w:rPr>
        <w:t xml:space="preserve">Chief Constable of Avon v Fleming [1987]</w:t>
      </w:r>
      <w:r w:rsidDel="00000000" w:rsidR="00000000" w:rsidRPr="00000000">
        <w:rPr>
          <w:rFonts w:ascii="Roboto" w:cs="Roboto" w:eastAsia="Roboto" w:hAnsi="Roboto"/>
          <w:color w:val="0f1115"/>
          <w:sz w:val="24"/>
          <w:szCs w:val="24"/>
          <w:rtl w:val="0"/>
        </w:rPr>
        <w:t xml:space="preserve">, would be that it is a vehicle, regardless of its primary purpose. The literal rule does not consider absurdity (C) or purpose (A) at this initial stage.</w:t>
        <w:br w:type="textWrapping"/>
        <w:t xml:space="preserve">Option A is incorrect; this is a purposive interpretation.</w:t>
        <w:br w:type="textWrapping"/>
        <w:t xml:space="preserve">Option C is incorrect; the golden rule is only engaged if the literal meaning leads to an absurdity, which the court may not find here.</w:t>
        <w:br w:type="textWrapping"/>
        <w:t xml:space="preserve">Option D is incorrect; this is the mischief rule.</w:t>
        <w:br w:type="textWrapping"/>
        <w:t xml:space="preserve">Option E is incorrect; UK courts do not generally refer to preparatory works (</w:t>
      </w:r>
      <w:r w:rsidDel="00000000" w:rsidR="00000000" w:rsidRPr="00000000">
        <w:rPr>
          <w:rFonts w:ascii="Roboto" w:cs="Roboto" w:eastAsia="Roboto" w:hAnsi="Roboto"/>
          <w:i w:val="1"/>
          <w:iCs w:val="1"/>
          <w:color w:val="0f1115"/>
          <w:sz w:val="24"/>
          <w:szCs w:val="24"/>
          <w:rtl w:val="0"/>
        </w:rPr>
        <w:t xml:space="preserve">travaux préparatoires</w:t>
      </w:r>
      <w:r w:rsidDel="00000000" w:rsidR="00000000" w:rsidRPr="00000000">
        <w:rPr>
          <w:rFonts w:ascii="Roboto" w:cs="Roboto" w:eastAsia="Roboto" w:hAnsi="Roboto"/>
          <w:color w:val="0f1115"/>
          <w:sz w:val="24"/>
          <w:szCs w:val="24"/>
          <w:rtl w:val="0"/>
        </w:rPr>
        <w:t xml:space="preserve">) under the literal rule.</w:t>
      </w:r>
    </w:p>
    <w:p w:rsidR="00000000" w:rsidDel="00000000" w:rsidP="00000000" w:rsidRDefault="00000000" w:rsidRPr="00000000" w14:paraId="0000011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11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old Act states: "Whosoever shall unlawfully and maliciously kill, maim, or wound any cattle shall be guilty of an offence." The defendant, as a prank, contaminates a farmer's water trough with a chemical that makes a prize bull temporarily infertile. The bull is not physically injured. The defendant is charged under the Act. The court is satisfied the act was malicious.</w:t>
      </w:r>
    </w:p>
    <w:p w:rsidR="00000000" w:rsidDel="00000000" w:rsidP="00000000" w:rsidRDefault="00000000" w:rsidRPr="00000000" w14:paraId="0000012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Applying the golden rule, what is the court's most likely  approach to interpreting the word "wound"?</w:t>
        <w:br w:type="textWrapping"/>
        <w:t xml:space="preserve">A. Give "wound" its strict medical meaning, which requires a break in the skin, leading to an acquittal.</w:t>
        <w:br w:type="textWrapping"/>
        <w:t xml:space="preserve">B. Apply the literal meaning, but if it leads to the absurd result that harming valuable livestock is not an offence, extend the meaning to include serious impairment of function.</w:t>
        <w:br w:type="textWrapping"/>
        <w:t xml:space="preserve">C. Look at the mischief the Act was aimed at (protecting farmers' livelihoods) and interpret "wound" to include any harm that reduces economic value.</w:t>
        <w:br w:type="textWrapping"/>
        <w:t xml:space="preserve">D. Consult Hansard to see what Parliament intended by the word in 1861.</w:t>
        <w:br w:type="textWrapping"/>
        <w:t xml:space="preserve">E. Apply the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rule, interpreting "wound" in the context of the words "kill" and "maim."</w:t>
        <w:br w:type="textWrapping"/>
        <w:t xml:space="preserve">The correct option is B</w:t>
        <w:br w:type="textWrapping"/>
        <w:t xml:space="preserve">Explanation</w:t>
        <w:br w:type="textWrapping"/>
        <w:t xml:space="preserve">Option B is correct. The golden rule is a modification of the literal rule. The court would first establish the literal meaning of "wound" (likely a breaking of the skin). If applying that meaning leads to an absurd, repugnant, or unworkable result—here, that maliciously destroying the breeding value of a prize bull is not an offence—the court may then depart from the strict literal meaning. It could broaden "wound" to include non-physical but serious harm that is akin to maiming, thus avoiding the absurdity. This was the approach in </w:t>
      </w:r>
      <w:r w:rsidDel="00000000" w:rsidR="00000000" w:rsidRPr="00000000">
        <w:rPr>
          <w:rFonts w:ascii="Roboto" w:cs="Roboto" w:eastAsia="Roboto" w:hAnsi="Roboto"/>
          <w:i w:val="1"/>
          <w:iCs w:val="1"/>
          <w:color w:val="0f1115"/>
          <w:sz w:val="24"/>
          <w:szCs w:val="24"/>
          <w:rtl w:val="0"/>
        </w:rPr>
        <w:t xml:space="preserve">R v Cockburn [2008]</w:t>
      </w:r>
      <w:r w:rsidDel="00000000" w:rsidR="00000000" w:rsidRPr="00000000">
        <w:rPr>
          <w:rFonts w:ascii="Roboto" w:cs="Roboto" w:eastAsia="Roboto" w:hAnsi="Roboto"/>
          <w:color w:val="0f1115"/>
          <w:sz w:val="24"/>
          <w:szCs w:val="24"/>
          <w:rtl w:val="0"/>
        </w:rPr>
        <w:t xml:space="preserve"> regarding similar wording.</w:t>
        <w:br w:type="textWrapping"/>
        <w:t xml:space="preserve">Option A is incorrect; this is a strict application of the literal rule, not the golden rule.</w:t>
        <w:br w:type="textWrapping"/>
        <w:t xml:space="preserve">Option C is incorrect; this is a clear description of the mischief rule.</w:t>
        <w:br w:type="textWrapping"/>
        <w:t xml:space="preserve">Option D is incorrect; this is not a standard approach under the golden rule, especially for an old Act.</w:t>
        <w:br w:type="textWrapping"/>
        <w:t xml:space="preserve">Option E is a linguistic canons of construction, which may be used, but the golden rule specifically addresses absurdity.</w:t>
      </w:r>
    </w:p>
    <w:p w:rsidR="00000000" w:rsidDel="00000000" w:rsidP="00000000" w:rsidRDefault="00000000" w:rsidRPr="00000000" w14:paraId="0000012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122">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2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Street Offences Act 1959 created an offence of a "common prostitute loitering or soliciting in a street or public place for the purpose of prostitution." In Bristol, prostitutes were attracting clients from behind the windows of ground-floor premises, tapping on the window to solicit men in the street. They were charged under the Act.</w:t>
        <w:br w:type="textWrapping"/>
        <w:t xml:space="preserve">Which rule of interpretation did the Queen's Bench Divisional Court likely apply to find them guilty?</w:t>
        <w:br w:type="textWrapping"/>
        <w:t xml:space="preserve">A. The literal rule</w:t>
      </w:r>
    </w:p>
    <w:p w:rsidR="00000000" w:rsidDel="00000000" w:rsidP="00000000" w:rsidRDefault="00000000" w:rsidRPr="00000000" w14:paraId="0000012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The golden rule</w:t>
        <w:br w:type="textWrapping"/>
        <w:t xml:space="preserve">C. The mischief rule,</w:t>
        <w:br w:type="textWrapping"/>
        <w:t xml:space="preserve">D. The </w:t>
      </w:r>
      <w:r w:rsidDel="00000000" w:rsidR="00000000" w:rsidRPr="00000000">
        <w:rPr>
          <w:rFonts w:ascii="Roboto" w:cs="Roboto" w:eastAsia="Roboto" w:hAnsi="Roboto"/>
          <w:i w:val="1"/>
          <w:iCs w:val="1"/>
          <w:color w:val="0f1115"/>
          <w:sz w:val="24"/>
          <w:szCs w:val="24"/>
          <w:rtl w:val="0"/>
        </w:rPr>
        <w:t xml:space="preserve">expressio unius</w:t>
      </w:r>
      <w:r w:rsidDel="00000000" w:rsidR="00000000" w:rsidRPr="00000000">
        <w:rPr>
          <w:rFonts w:ascii="Roboto" w:cs="Roboto" w:eastAsia="Roboto" w:hAnsi="Roboto"/>
          <w:color w:val="0f1115"/>
          <w:sz w:val="24"/>
          <w:szCs w:val="24"/>
          <w:rtl w:val="0"/>
        </w:rPr>
        <w:t xml:space="preserve"> rule,</w:t>
        <w:br w:type="textWrapping"/>
        <w:t xml:space="preserve">E. The rule in </w:t>
      </w:r>
      <w:r w:rsidDel="00000000" w:rsidR="00000000" w:rsidRPr="00000000">
        <w:rPr>
          <w:rFonts w:ascii="Roboto" w:cs="Roboto" w:eastAsia="Roboto" w:hAnsi="Roboto"/>
          <w:i w:val="1"/>
          <w:iCs w:val="1"/>
          <w:color w:val="0f1115"/>
          <w:sz w:val="24"/>
          <w:szCs w:val="24"/>
          <w:rtl w:val="0"/>
        </w:rPr>
        <w:t xml:space="preserve">Heydon's Case</w:t>
      </w:r>
      <w:r w:rsidDel="00000000" w:rsidR="00000000" w:rsidRPr="00000000">
        <w:rPr>
          <w:rFonts w:ascii="Roboto" w:cs="Roboto" w:eastAsia="Roboto" w:hAnsi="Roboto"/>
          <w:color w:val="0f1115"/>
          <w:sz w:val="24"/>
          <w:szCs w:val="24"/>
          <w:rtl w:val="0"/>
        </w:rPr>
        <w:br w:type="textWrapping"/>
        <w:t xml:space="preserve">The correct option is C</w:t>
        <w:br w:type="textWrapping"/>
        <w:t xml:space="preserve">Explanation</w:t>
        <w:br w:type="textWrapping"/>
        <w:t xml:space="preserve">Option C is correct. In </w:t>
      </w:r>
      <w:r w:rsidDel="00000000" w:rsidR="00000000" w:rsidRPr="00000000">
        <w:rPr>
          <w:rFonts w:ascii="Roboto" w:cs="Roboto" w:eastAsia="Roboto" w:hAnsi="Roboto"/>
          <w:i w:val="1"/>
          <w:iCs w:val="1"/>
          <w:color w:val="0f1115"/>
          <w:sz w:val="24"/>
          <w:szCs w:val="24"/>
          <w:rtl w:val="0"/>
        </w:rPr>
        <w:t xml:space="preserve">Smith v Hughes</w:t>
      </w:r>
      <w:r w:rsidDel="00000000" w:rsidR="00000000" w:rsidRPr="00000000">
        <w:rPr>
          <w:rFonts w:ascii="Roboto" w:cs="Roboto" w:eastAsia="Roboto" w:hAnsi="Roboto"/>
          <w:color w:val="0f1115"/>
          <w:sz w:val="24"/>
          <w:szCs w:val="24"/>
          <w:rtl w:val="0"/>
        </w:rPr>
        <w:t xml:space="preserve">, the court famously applied the mischief rule (or the rule in </w:t>
      </w:r>
      <w:r w:rsidDel="00000000" w:rsidR="00000000" w:rsidRPr="00000000">
        <w:rPr>
          <w:rFonts w:ascii="Roboto" w:cs="Roboto" w:eastAsia="Roboto" w:hAnsi="Roboto"/>
          <w:i w:val="1"/>
          <w:iCs w:val="1"/>
          <w:color w:val="0f1115"/>
          <w:sz w:val="24"/>
          <w:szCs w:val="24"/>
          <w:rtl w:val="0"/>
        </w:rPr>
        <w:t xml:space="preserve">Heydon's Case</w:t>
      </w:r>
      <w:r w:rsidDel="00000000" w:rsidR="00000000" w:rsidRPr="00000000">
        <w:rPr>
          <w:rFonts w:ascii="Roboto" w:cs="Roboto" w:eastAsia="Roboto" w:hAnsi="Roboto"/>
          <w:color w:val="0f1115"/>
          <w:sz w:val="24"/>
          <w:szCs w:val="24"/>
          <w:rtl w:val="0"/>
        </w:rPr>
        <w:t xml:space="preserve">). Lord Parker CJ looked at the mischief Parliament intended to remedy, cleaning up the streets from the nuisance of prostitution. He concluded that a prostitute soliciting men who were in the street, even if she herself was not physically in the street, was engaging in the precise mischief the Act aimed to stop. The purposive interpretation extended the reach of the words "in a street."</w:t>
        <w:br w:type="textWrapping"/>
        <w:t xml:space="preserve">Option A is incorrect; a literal application would have led to an acquittal, as the defendants were not </w:t>
      </w:r>
      <w:r w:rsidDel="00000000" w:rsidR="00000000" w:rsidRPr="00000000">
        <w:rPr>
          <w:rFonts w:ascii="Roboto" w:cs="Roboto" w:eastAsia="Roboto" w:hAnsi="Roboto"/>
          <w:i w:val="1"/>
          <w:iCs w:val="1"/>
          <w:color w:val="0f1115"/>
          <w:sz w:val="24"/>
          <w:szCs w:val="24"/>
          <w:rtl w:val="0"/>
        </w:rPr>
        <w:t xml:space="preserve">in</w:t>
      </w:r>
      <w:r w:rsidDel="00000000" w:rsidR="00000000" w:rsidRPr="00000000">
        <w:rPr>
          <w:rFonts w:ascii="Roboto" w:cs="Roboto" w:eastAsia="Roboto" w:hAnsi="Roboto"/>
          <w:color w:val="0f1115"/>
          <w:sz w:val="24"/>
          <w:szCs w:val="24"/>
          <w:rtl w:val="0"/>
        </w:rPr>
        <w:t xml:space="preserve"> the street.</w:t>
        <w:br w:type="textWrapping"/>
        <w:t xml:space="preserve">Option B is incorrect; while the result of the literal rule might be considered absurd, the court's reasoning was expressly based on the Act's purpose/mischief, not just avoiding absurdity.</w:t>
        <w:br w:type="textWrapping"/>
        <w:t xml:space="preserve">Option D is incorrect; this Latin maxim (the express mention of one thing excludes others) was not applied.</w:t>
        <w:br w:type="textWrapping"/>
        <w:t xml:space="preserve">Option E is incorrect; </w:t>
      </w:r>
      <w:r w:rsidDel="00000000" w:rsidR="00000000" w:rsidRPr="00000000">
        <w:rPr>
          <w:rFonts w:ascii="Roboto" w:cs="Roboto" w:eastAsia="Roboto" w:hAnsi="Roboto"/>
          <w:i w:val="1"/>
          <w:iCs w:val="1"/>
          <w:color w:val="0f1115"/>
          <w:sz w:val="24"/>
          <w:szCs w:val="24"/>
          <w:rtl w:val="0"/>
        </w:rPr>
        <w:t xml:space="preserve">Heydon's Case</w:t>
      </w:r>
      <w:r w:rsidDel="00000000" w:rsidR="00000000" w:rsidRPr="00000000">
        <w:rPr>
          <w:rFonts w:ascii="Roboto" w:cs="Roboto" w:eastAsia="Roboto" w:hAnsi="Roboto"/>
          <w:color w:val="0f1115"/>
          <w:sz w:val="24"/>
          <w:szCs w:val="24"/>
          <w:rtl w:val="0"/>
        </w:rPr>
        <w:t xml:space="preserve"> is the foundation of the mischief rule, not the literal rule.</w:t>
      </w:r>
    </w:p>
    <w:p w:rsidR="00000000" w:rsidDel="00000000" w:rsidP="00000000" w:rsidRDefault="00000000" w:rsidRPr="00000000" w14:paraId="000001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12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company's articles of association state: "No notice of any general meeting shall be invalidated by reason of any 'omission' to give such notice to any person entitled thereto." Due to an administrative error, 5% of the shareholders were accidentally not sent notice of a meeting. A shareholder challenges the validity of the meeting's resolution.</w:t>
        <w:br w:type="textWrapping"/>
        <w:t xml:space="preserve">Applying the golden rule to interpret the word "omission," what is the MOST LIKELY outcome?</w:t>
        <w:br w:type="textWrapping"/>
        <w:t xml:space="preserve">A. The word "omission" is given its literal meaning (any failure to act), so the failure to notify 5% is covered and the meeting is valid.</w:t>
        <w:br w:type="textWrapping"/>
        <w:t xml:space="preserve">B. The literal meaning leads to the absurd result that a deliberate, wholesale failure to notify could be excused, so "omission" is interpreted to mean only </w:t>
      </w:r>
      <w:r w:rsidDel="00000000" w:rsidR="00000000" w:rsidRPr="00000000">
        <w:rPr>
          <w:rFonts w:ascii="Roboto" w:cs="Roboto" w:eastAsia="Roboto" w:hAnsi="Roboto"/>
          <w:i w:val="1"/>
          <w:iCs w:val="1"/>
          <w:color w:val="0f1115"/>
          <w:sz w:val="24"/>
          <w:szCs w:val="24"/>
          <w:rtl w:val="0"/>
        </w:rPr>
        <w:t xml:space="preserve">inadvertent</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w:cs="Roboto" w:eastAsia="Roboto" w:hAnsi="Roboto"/>
          <w:i w:val="1"/>
          <w:iCs w:val="1"/>
          <w:color w:val="0f1115"/>
          <w:sz w:val="24"/>
          <w:szCs w:val="24"/>
          <w:rtl w:val="0"/>
        </w:rPr>
        <w:t xml:space="preserve">minor</w:t>
      </w:r>
      <w:r w:rsidDel="00000000" w:rsidR="00000000" w:rsidRPr="00000000">
        <w:rPr>
          <w:rFonts w:ascii="Roboto" w:cs="Roboto" w:eastAsia="Roboto" w:hAnsi="Roboto"/>
          <w:color w:val="0f1115"/>
          <w:sz w:val="24"/>
          <w:szCs w:val="24"/>
          <w:rtl w:val="0"/>
        </w:rPr>
        <w:t xml:space="preserve"> failures.</w:t>
        <w:br w:type="textWrapping"/>
        <w:t xml:space="preserve">C. The mischief the clause was designed to prevent (technical challenges over trivial errors) means "omission" includes this error.</w:t>
        <w:br w:type="textWrapping"/>
        <w:t xml:space="preserve">D. The word "omission" is ambiguous, so the </w:t>
      </w:r>
      <w:r w:rsidDel="00000000" w:rsidR="00000000" w:rsidRPr="00000000">
        <w:rPr>
          <w:rFonts w:ascii="Roboto" w:cs="Roboto" w:eastAsia="Roboto" w:hAnsi="Roboto"/>
          <w:i w:val="1"/>
          <w:iCs w:val="1"/>
          <w:color w:val="0f1115"/>
          <w:sz w:val="24"/>
          <w:szCs w:val="24"/>
          <w:rtl w:val="0"/>
        </w:rPr>
        <w:t xml:space="preserve">contra proferentem</w:t>
      </w:r>
      <w:r w:rsidDel="00000000" w:rsidR="00000000" w:rsidRPr="00000000">
        <w:rPr>
          <w:rFonts w:ascii="Roboto" w:cs="Roboto" w:eastAsia="Roboto" w:hAnsi="Roboto"/>
          <w:color w:val="0f1115"/>
          <w:sz w:val="24"/>
          <w:szCs w:val="24"/>
          <w:rtl w:val="0"/>
        </w:rPr>
        <w:t xml:space="preserve"> rule applies against the company.</w:t>
        <w:br w:type="textWrapping"/>
        <w:t xml:space="preserve">E. The court will apply the literal rule as there is no absurdity in a company excusing its own errors.</w:t>
        <w:br w:type="textWrapping"/>
        <w:t xml:space="preserve">The correct option is B</w:t>
        <w:br w:type="textWrapping"/>
        <w:t xml:space="preserve">Explanation</w:t>
        <w:br w:type="textWrapping"/>
        <w:t xml:space="preserve">Option B is correct. The golden rule allows departure from a literal meaning to avoid an absurd or repugnant result. The literal meaning of "omission" is broad and could excuse even a deliberate, total failure to notify shareholders. This would be an absurd result, undermining a fundamental shareholder right. Therefore, a court would likely use the golden rule to restrict "omission" to mean inadvertent, accidental, or minor failures, not a substantial or deliberate deprivation of notice. This preserves the purpose of the clause (curing minor defects) without allowing abuse.</w:t>
        <w:br w:type="textWrapping"/>
        <w:t xml:space="preserve">Option A is a strict literal approach, which the golden rule modifies if absurdity arises.</w:t>
        <w:br w:type="textWrapping"/>
        <w:t xml:space="preserve">Option C describes the mischief rule, which is more about statutory intent than interpreting contractual clauses, though similar principles apply.</w:t>
        <w:br w:type="textWrapping"/>
        <w:t xml:space="preserve">Option D introduces a different rule for contractual interpretation, which may be relevant but the question specifically asks for the golden rule approach.</w:t>
        <w:br w:type="textWrapping"/>
        <w:t xml:space="preserve">Option E is incorrect; the potential for absurdity is precisely what triggers the golden rule.</w:t>
      </w:r>
    </w:p>
    <w:p w:rsidR="00000000" w:rsidDel="00000000" w:rsidP="00000000" w:rsidRDefault="00000000" w:rsidRPr="00000000" w14:paraId="000001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12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Wildlife and Countryside Act 1981 makes it an offence to "intentionally kill, injure, or take any wild bird." A defendant is accused of shooting a buzzard (a protected wild bird). His defence is that he was shooting at a clay pigeon and missed, accidentally hitting the buzzard. The statute does not define "intentionally."</w:t>
        <w:br w:type="textWrapping"/>
      </w:r>
    </w:p>
    <w:p w:rsidR="00000000" w:rsidDel="00000000" w:rsidP="00000000" w:rsidRDefault="00000000" w:rsidRPr="00000000" w14:paraId="0000012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rule of interpretation would a court using the literal rule, be employ to define "intentionally"?</w:t>
        <w:br w:type="textWrapping"/>
        <w:t xml:space="preserve">A. It would apply the mischief rule, concluding Parliament intended to protect birds from all gunfire.</w:t>
        <w:br w:type="textWrapping"/>
        <w:t xml:space="preserve">B. It would give the word its ordinary meaning in criminal law, requiring direct intent or recklessness as to the prohibited outcome.</w:t>
        <w:br w:type="textWrapping"/>
        <w:t xml:space="preserve">C. It would apply the golden rule to include accidental killings to avoid the absurdity of the Act being ineffective.</w:t>
        <w:br w:type="textWrapping"/>
        <w:t xml:space="preserve">D. It would look at the Law Commission report preceding the Act to find Parliament's intended meaning.</w:t>
        <w:br w:type="textWrapping"/>
        <w:t xml:space="preserve">E. It would interpret the word broadly,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with "kill" and "injure."</w:t>
        <w:br w:type="textWrapping"/>
        <w:t xml:space="preserve">The correct option is B</w:t>
        <w:br w:type="textWrapping"/>
        <w:t xml:space="preserve">Explanation</w:t>
        <w:br w:type="textWrapping"/>
        <w:t xml:space="preserve">Option B is correct. The literal rule requires giving words their ordinary, natural meaning. In ordinary legal language, "intentionally" means aiming to bring about a result or acting with knowledge that it is virtually certain. Accidental conduct (without foresight) would not be covered. A literalist court would likely interpret "intentionally" as requiring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regarding the bird, leading to an acquittal on these facts unless recklessness was implied. This approach prioritises the text over a potential broader purpose of conservation.</w:t>
        <w:br w:type="textWrapping"/>
        <w:t xml:space="preserve">Option A is incorrect; this is not the literal rule.</w:t>
        <w:br w:type="textWrapping"/>
        <w:t xml:space="preserve">Option C is incorrect; the golden rule is not triggered merely because a law might be less effective; absurdity is a higher threshold.</w:t>
        <w:br w:type="textWrapping"/>
        <w:t xml:space="preserve">Option D is incorrect; this is not part of the literal approach for a UK court.</w:t>
        <w:br w:type="textWrapping"/>
        <w:t xml:space="preserve">Option E is a linguistic canon, not the core literal rule.</w:t>
      </w:r>
    </w:p>
    <w:p w:rsidR="00000000" w:rsidDel="00000000" w:rsidP="00000000" w:rsidRDefault="00000000" w:rsidRPr="00000000" w14:paraId="000001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12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Local Government Act states: "The council may erect and maintain 'lamps, posts, and other structures' for the lighting of the highway." The council erects a large, ornamental clock tower with integral lighting at its base. A ratepayer challenges the expenditure, arguing a clock tower is not a "lamp, post, or other structure" for lighting.</w:t>
        <w:br w:type="textWrapping"/>
        <w:t xml:space="preserve">Applying the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rule (a specific application of the literal approach), how should "other structures" be interpreted?</w:t>
        <w:br w:type="textWrapping"/>
        <w:t xml:space="preserve">A. It includes any structure whatsoever, as the words are plain.</w:t>
        <w:br w:type="textWrapping"/>
        <w:t xml:space="preserve">B. It includes only structures that are of the same kind, genus, or class as "lamps" and "posts" i.e., standard street furniture primarily for lighting.</w:t>
        <w:br w:type="textWrapping"/>
        <w:t xml:space="preserve">C. It should be interpreted using the golden rule to allow the council to provide useful public amenities.</w:t>
        <w:br w:type="textWrapping"/>
        <w:t xml:space="preserve">D. The mischief of the Act was to improve public highways, so a clock tower that lights the highway is included.</w:t>
        <w:br w:type="textWrapping"/>
        <w:t xml:space="preserve">E. The words "lamps, posts" are illustrative, so "other structures" has a wide meaning.</w:t>
        <w:br w:type="textWrapping"/>
        <w:t xml:space="preserve">The correct option is B</w:t>
      </w:r>
    </w:p>
    <w:p w:rsidR="00000000" w:rsidDel="00000000" w:rsidP="00000000" w:rsidRDefault="00000000" w:rsidRPr="00000000" w14:paraId="0000012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B is correct.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is a linguistic canon often used within a literalist framework. Where general words ("other structures") follow specific words ("lamps, posts"), the general words are limited to things of the same class or genus as the specific ones. The genus here is "street lighting apparatus" or "standard highway lighting furniture." A large ornamental clock tower, even if it provides some light, is likely not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with a lamp post. The ratepayer's challenge would likely succeed.</w:t>
        <w:br w:type="textWrapping"/>
        <w:t xml:space="preserve">Option A ignores the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principle.</w:t>
        <w:br w:type="textWrapping"/>
        <w:t xml:space="preserve">Option C introduces the golden rule, which is not needed if the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rule resolves the ambiguity.</w:t>
        <w:br w:type="textWrapping"/>
        <w:t xml:space="preserve">Option D applies the mischief rule, which is a different approach.</w:t>
        <w:br w:type="textWrapping"/>
        <w:t xml:space="preserve">Option E describes the opposite rule, </w:t>
      </w:r>
      <w:r w:rsidDel="00000000" w:rsidR="00000000" w:rsidRPr="00000000">
        <w:rPr>
          <w:rFonts w:ascii="Roboto" w:cs="Roboto" w:eastAsia="Roboto" w:hAnsi="Roboto"/>
          <w:i w:val="1"/>
          <w:iCs w:val="1"/>
          <w:color w:val="0f1115"/>
          <w:sz w:val="24"/>
          <w:szCs w:val="24"/>
          <w:rtl w:val="0"/>
        </w:rPr>
        <w:t xml:space="preserve">expressio unius est exclusio alterius</w:t>
      </w:r>
      <w:r w:rsidDel="00000000" w:rsidR="00000000" w:rsidRPr="00000000">
        <w:rPr>
          <w:rFonts w:ascii="Roboto" w:cs="Roboto" w:eastAsia="Roboto" w:hAnsi="Roboto"/>
          <w:color w:val="0f1115"/>
          <w:sz w:val="24"/>
          <w:szCs w:val="24"/>
          <w:rtl w:val="0"/>
        </w:rPr>
        <w:t xml:space="preserve">, which is not applicable here.</w:t>
      </w:r>
    </w:p>
    <w:p w:rsidR="00000000" w:rsidDel="00000000" w:rsidP="00000000" w:rsidRDefault="00000000" w:rsidRPr="00000000" w14:paraId="0000012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12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Offences Against the Person Act 1861 states: "Whosoever shall unlawfully and maliciously stab, cut, or wound any person shall be guilty of an offence." In </w:t>
      </w:r>
      <w:r w:rsidDel="00000000" w:rsidR="00000000" w:rsidRPr="00000000">
        <w:rPr>
          <w:rFonts w:ascii="Roboto" w:cs="Roboto" w:eastAsia="Roboto" w:hAnsi="Roboto"/>
          <w:i w:val="1"/>
          <w:iCs w:val="1"/>
          <w:color w:val="0f1115"/>
          <w:sz w:val="24"/>
          <w:szCs w:val="24"/>
          <w:rtl w:val="0"/>
        </w:rPr>
        <w:t xml:space="preserve">R v Mowatt [1968]</w:t>
      </w:r>
      <w:r w:rsidDel="00000000" w:rsidR="00000000" w:rsidRPr="00000000">
        <w:rPr>
          <w:rFonts w:ascii="Roboto" w:cs="Roboto" w:eastAsia="Roboto" w:hAnsi="Roboto"/>
          <w:color w:val="0f1115"/>
          <w:sz w:val="24"/>
          <w:szCs w:val="24"/>
          <w:rtl w:val="0"/>
        </w:rPr>
        <w:t xml:space="preserve">, the defendant punched the victim, causing internal bleeding but no break in the skin. The court had to decide if this was a "wound."</w:t>
        <w:br w:type="textWrapping"/>
        <w:t xml:space="preserve">Which rule of interpretation did the Court of Appeal apply when it held that a "wound" required a break in the continuity of the whole skin (the </w:t>
      </w:r>
      <w:r w:rsidDel="00000000" w:rsidR="00000000" w:rsidRPr="00000000">
        <w:rPr>
          <w:rFonts w:ascii="Roboto" w:cs="Roboto" w:eastAsia="Roboto" w:hAnsi="Roboto"/>
          <w:i w:val="1"/>
          <w:iCs w:val="1"/>
          <w:color w:val="0f1115"/>
          <w:sz w:val="24"/>
          <w:szCs w:val="24"/>
          <w:rtl w:val="0"/>
        </w:rPr>
        <w:t xml:space="preserve">dermis</w:t>
      </w:r>
      <w:r w:rsidDel="00000000" w:rsidR="00000000" w:rsidRPr="00000000">
        <w:rPr>
          <w:rFonts w:ascii="Roboto" w:cs="Roboto" w:eastAsia="Roboto" w:hAnsi="Roboto"/>
          <w:color w:val="0f1115"/>
          <w:sz w:val="24"/>
          <w:szCs w:val="24"/>
          <w:rtl w:val="0"/>
        </w:rPr>
        <w:t xml:space="preserve">), thus excluding the internal bleeding?</w:t>
      </w:r>
    </w:p>
    <w:p w:rsidR="00000000" w:rsidDel="00000000" w:rsidP="00000000" w:rsidRDefault="00000000" w:rsidRPr="00000000" w14:paraId="0000012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The mischief rule, focusing on the historic concern with violent assaults.</w:t>
        <w:br w:type="textWrapping"/>
        <w:t xml:space="preserve">B. The golden rule, avoiding the absurdity of classifying every bruise as a wound.</w:t>
        <w:br w:type="textWrapping"/>
        <w:t xml:space="preserve">C. The literal rule, applying the word's established technical, legal meaning from earlier case law.</w:t>
        <w:br w:type="textWrapping"/>
        <w:t xml:space="preserve">D. The purposive approach, interpreting the Act in light of modern medical understanding.</w:t>
        <w:br w:type="textWrapping"/>
        <w:t xml:space="preserve">E. The rule in </w:t>
      </w:r>
      <w:r w:rsidDel="00000000" w:rsidR="00000000" w:rsidRPr="00000000">
        <w:rPr>
          <w:rFonts w:ascii="Roboto" w:cs="Roboto" w:eastAsia="Roboto" w:hAnsi="Roboto"/>
          <w:i w:val="1"/>
          <w:iCs w:val="1"/>
          <w:color w:val="0f1115"/>
          <w:sz w:val="24"/>
          <w:szCs w:val="24"/>
          <w:rtl w:val="0"/>
        </w:rPr>
        <w:t xml:space="preserve">Heydon's Case</w:t>
      </w:r>
      <w:r w:rsidDel="00000000" w:rsidR="00000000" w:rsidRPr="00000000">
        <w:rPr>
          <w:rFonts w:ascii="Roboto" w:cs="Roboto" w:eastAsia="Roboto" w:hAnsi="Roboto"/>
          <w:color w:val="0f1115"/>
          <w:sz w:val="24"/>
          <w:szCs w:val="24"/>
          <w:rtl w:val="0"/>
        </w:rPr>
        <w:t xml:space="preserve">, examining the defect in the common law the Act was meant to fix.</w:t>
      </w:r>
    </w:p>
    <w:p w:rsidR="00000000" w:rsidDel="00000000" w:rsidP="00000000" w:rsidRDefault="00000000" w:rsidRPr="00000000" w14:paraId="0000013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The correct option is C</w:t>
      </w:r>
    </w:p>
    <w:p w:rsidR="00000000" w:rsidDel="00000000" w:rsidP="00000000" w:rsidRDefault="00000000" w:rsidRPr="00000000" w14:paraId="0000013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13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C is correct. In </w:t>
      </w:r>
      <w:r w:rsidDel="00000000" w:rsidR="00000000" w:rsidRPr="00000000">
        <w:rPr>
          <w:rFonts w:ascii="Roboto" w:cs="Roboto" w:eastAsia="Roboto" w:hAnsi="Roboto"/>
          <w:i w:val="1"/>
          <w:iCs w:val="1"/>
          <w:color w:val="0f1115"/>
          <w:sz w:val="24"/>
          <w:szCs w:val="24"/>
          <w:rtl w:val="0"/>
        </w:rPr>
        <w:t xml:space="preserve">R v Mowatt</w:t>
      </w:r>
      <w:r w:rsidDel="00000000" w:rsidR="00000000" w:rsidRPr="00000000">
        <w:rPr>
          <w:rFonts w:ascii="Roboto" w:cs="Roboto" w:eastAsia="Roboto" w:hAnsi="Roboto"/>
          <w:color w:val="0f1115"/>
          <w:sz w:val="24"/>
          <w:szCs w:val="24"/>
          <w:rtl w:val="0"/>
        </w:rPr>
        <w:t xml:space="preserve">, the Court of Appeal applied a literal approach, but one informed by precedent. The court looked at the long-standing legal definition of "wound" from earlier cases (</w:t>
      </w:r>
      <w:r w:rsidDel="00000000" w:rsidR="00000000" w:rsidRPr="00000000">
        <w:rPr>
          <w:rFonts w:ascii="Roboto" w:cs="Roboto" w:eastAsia="Roboto" w:hAnsi="Roboto"/>
          <w:i w:val="1"/>
          <w:iCs w:val="1"/>
          <w:color w:val="0f1115"/>
          <w:sz w:val="24"/>
          <w:szCs w:val="24"/>
          <w:rtl w:val="0"/>
        </w:rPr>
        <w:t xml:space="preserve">JJC v Eisenhower</w:t>
      </w:r>
      <w:r w:rsidDel="00000000" w:rsidR="00000000" w:rsidRPr="00000000">
        <w:rPr>
          <w:rFonts w:ascii="Roboto" w:cs="Roboto" w:eastAsia="Roboto" w:hAnsi="Roboto"/>
          <w:color w:val="0f1115"/>
          <w:sz w:val="24"/>
          <w:szCs w:val="24"/>
          <w:rtl w:val="0"/>
        </w:rPr>
        <w:t xml:space="preserve">), which required a break in the whole skin. The court applied this technical, literal meaning, even though a broader interpretation might have better served the Act's purpose of punishing violence. This is a classic example of a court using an established, precise meaning under the literal rule, rather than a purpose-driven interpretation.</w:t>
        <w:br w:type="textWrapping"/>
        <w:t xml:space="preserve">Option A is incorrect; the court did not base its decision on the Act's underlying mischief.</w:t>
        <w:br w:type="textWrapping"/>
        <w:t xml:space="preserve">Option B is incorrect; the court did not find the literal meaning absurd; it found it clear.</w:t>
        <w:br w:type="textWrapping"/>
        <w:t xml:space="preserve">Option D is incorrect; the court rejected a modern, broader medical definition in favour of the established legal one.</w:t>
        <w:br w:type="textWrapping"/>
        <w:t xml:space="preserve">Option E is incorrect; the court did not engage in a </w:t>
      </w:r>
      <w:r w:rsidDel="00000000" w:rsidR="00000000" w:rsidRPr="00000000">
        <w:rPr>
          <w:rFonts w:ascii="Roboto" w:cs="Roboto" w:eastAsia="Roboto" w:hAnsi="Roboto"/>
          <w:i w:val="1"/>
          <w:iCs w:val="1"/>
          <w:color w:val="0f1115"/>
          <w:sz w:val="24"/>
          <w:szCs w:val="24"/>
          <w:rtl w:val="0"/>
        </w:rPr>
        <w:t xml:space="preserve">Heydon's Case</w:t>
      </w:r>
      <w:r w:rsidDel="00000000" w:rsidR="00000000" w:rsidRPr="00000000">
        <w:rPr>
          <w:rFonts w:ascii="Roboto" w:cs="Roboto" w:eastAsia="Roboto" w:hAnsi="Roboto"/>
          <w:color w:val="0f1115"/>
          <w:sz w:val="24"/>
          <w:szCs w:val="24"/>
          <w:rtl w:val="0"/>
        </w:rPr>
        <w:t xml:space="preserve"> analysis.</w:t>
      </w:r>
    </w:p>
    <w:p w:rsidR="00000000" w:rsidDel="00000000" w:rsidP="00000000" w:rsidRDefault="00000000" w:rsidRPr="00000000" w14:paraId="00000133">
      <w:pPr>
        <w:shd w:fill="ffffff" w:val="clear"/>
        <w:spacing w:after="240" w:before="240" w:line="420" w:lineRule="auto"/>
        <w:rPr/>
      </w:pPr>
      <w:r w:rsidDel="00000000" w:rsidR="00000000" w:rsidRPr="00000000">
        <w:rPr>
          <w:rtl w:val="0"/>
        </w:rPr>
        <w:t xml:space="preserve">E- AIDS TO STATUTORY INTERPRETATION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"Online Fraud Act 2025" includes a provision creating an offence where a person "dishonestly obtains a financial advantage by means of a false representation." The defendant created a sophisticated AI chatbot that mimicked a bank's customer service agent. Members of the public, believing they were interacting with their bank, voluntarily provided their security details, which the defendant then used to access their accounts. At trial, the defendant argues no "false representation" was made to the victims, as they knowingly made true representations </w:t>
      </w:r>
      <w:r w:rsidDel="00000000" w:rsidR="00000000" w:rsidRPr="00000000">
        <w:rPr>
          <w:rFonts w:ascii="Roboto" w:cs="Roboto" w:eastAsia="Roboto" w:hAnsi="Roboto"/>
          <w:i w:val="1"/>
          <w:iCs w:val="1"/>
          <w:color w:val="0f1115"/>
          <w:sz w:val="24"/>
          <w:szCs w:val="24"/>
          <w:rtl w:val="0"/>
        </w:rPr>
        <w:t xml:space="preserve">to the chatbot</w:t>
      </w:r>
      <w:r w:rsidDel="00000000" w:rsidR="00000000" w:rsidRPr="00000000">
        <w:rPr>
          <w:rFonts w:ascii="Roboto" w:cs="Roboto" w:eastAsia="Roboto" w:hAnsi="Roboto"/>
          <w:color w:val="0f1115"/>
          <w:sz w:val="24"/>
          <w:szCs w:val="24"/>
          <w:rtl w:val="0"/>
        </w:rPr>
        <w:t xml:space="preserve"> about their own details.</w:t>
        <w:br w:type="textWrapping"/>
        <w:t xml:space="preserve">Which approach would a court applying a purposive interpretation most likely take?</w:t>
        <w:br w:type="textWrapping"/>
        <w:t xml:space="preserve">A. Apply the literal meaning of "false representation" as a statement of fact made by the defendant, leading to an acquittal.</w:t>
        <w:br w:type="textWrapping"/>
        <w:t xml:space="preserve">B. Interpret the phrase in light of the Act's purpose to combat evolving forms of financial deception, concluding that the entire deceptive artifice constituted a false representation.</w:t>
        <w:br w:type="textWrapping"/>
        <w:t xml:space="preserve">C. Use the golden rule to avoid the absurdity of the Act not covering advanced technological fraud.</w:t>
        <w:br w:type="textWrapping"/>
        <w:t xml:space="preserve">D. Apply the presumption that criminal statutes should be construed strictly in favour of the defendant (the rule of lenity).</w:t>
        <w:br w:type="textWrapping"/>
        <w:t xml:space="preserve">E. Look exclusively at the dictionary definition of "representation."</w:t>
        <w:br w:type="textWrapping"/>
        <w:t xml:space="preserve">The correct option is B</w:t>
        <w:br w:type="textWrapping"/>
        <w:t xml:space="preserve">Explanation</w:t>
        <w:br w:type="textWrapping"/>
        <w:t xml:space="preserve">Option B is correct. The purposive approach seeks to give effect to the legislative purpose behind the statute. The clear purpose of an Online Fraud Act is to combat dishonest financial schemes exploiting technology. A purposive court would look at the substance of the defendant's conduct—creating a deceptive interface that falsely represented itself as a legitimate banking channel. It would interpret "false representation" broadly to encompass this modern, systemic deception, even if no traditional verbal lie was uttered by the defendant to each victim. This aligns with cases like </w:t>
      </w:r>
      <w:r w:rsidDel="00000000" w:rsidR="00000000" w:rsidRPr="00000000">
        <w:rPr>
          <w:rFonts w:ascii="Roboto" w:cs="Roboto" w:eastAsia="Roboto" w:hAnsi="Roboto"/>
          <w:i w:val="1"/>
          <w:iCs w:val="1"/>
          <w:color w:val="0f1115"/>
          <w:sz w:val="24"/>
          <w:szCs w:val="24"/>
          <w:rtl w:val="0"/>
        </w:rPr>
        <w:t xml:space="preserve">R v Goldshield Group [2009]</w:t>
      </w:r>
      <w:r w:rsidDel="00000000" w:rsidR="00000000" w:rsidRPr="00000000">
        <w:rPr>
          <w:rFonts w:ascii="Roboto" w:cs="Roboto" w:eastAsia="Roboto" w:hAnsi="Roboto"/>
          <w:color w:val="0f1115"/>
          <w:sz w:val="24"/>
          <w:szCs w:val="24"/>
          <w:rtl w:val="0"/>
        </w:rPr>
        <w:t xml:space="preserve"> where "false representation" was interpreted purposively.</w:t>
        <w:br w:type="textWrapping"/>
        <w:t xml:space="preserve">Option A is a literalist approach, which the purposive approach supersedes where purpose is clear.</w:t>
        <w:br w:type="textWrapping"/>
        <w:t xml:space="preserve">Option C mentions the golden rule, which is a subset of purposive interpretation focused on avoiding absurdity, but the primary driver here is the general purpose of the Act.</w:t>
        <w:br w:type="textWrapping"/>
        <w:t xml:space="preserve">Option D is a presumption that may be rebutted by clear legislative purpose, which is strong here.</w:t>
        <w:br w:type="textWrapping"/>
        <w:t xml:space="preserve">Option E is a component of the literal rule, not the purposive approach.</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interpreting a statute that grants a government minister the power to "direct a local authority to take such steps as are necessary," a court presumes that Parliament did not intend to grant the power to issue directions that violate fundamental human rights, such as the right to a fair hearing. </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an application of which principle?</w:t>
        <w:br w:type="textWrapping"/>
        <w:t xml:space="preserve">A. The presumption against ousting the jurisdiction of the courts.</w:t>
        <w:br w:type="textWrapping"/>
        <w:t xml:space="preserve">B. The presumption in favour of the liberty of the subject.</w:t>
        <w:br w:type="textWrapping"/>
        <w:t xml:space="preserve">C. The presumption that legislation does not operate retrospectively.</w:t>
        <w:br w:type="textWrapping"/>
        <w:t xml:space="preserve">D. The presumption that legislation is intended to be compatible with fundamental rights.</w:t>
        <w:br w:type="textWrapping"/>
        <w:t xml:space="preserve">E. The presumption that Parliament does not legislate extra-territorially.</w:t>
        <w:br w:type="textWrapping"/>
        <w:t xml:space="preserve">The correct option is D</w:t>
        <w:br w:type="textWrapping"/>
        <w:t xml:space="preserve">Explanation</w:t>
        <w:br w:type="textWrapping"/>
        <w:t xml:space="preserve">Option D is correct. This is a well-established common law presumption of statutory interpretation: Parliament is presumed not to intend to legislate in a way that infringes fundamental rights unless such an intention is expressed in clear and unambiguous language. This presumption has been strengthened by the Human Rights Act 1998 (s.3), but it existed at common law before 1998 (e.g., </w:t>
      </w:r>
      <w:r w:rsidDel="00000000" w:rsidR="00000000" w:rsidRPr="00000000">
        <w:rPr>
          <w:rFonts w:ascii="Roboto" w:cs="Roboto" w:eastAsia="Roboto" w:hAnsi="Roboto"/>
          <w:i w:val="1"/>
          <w:iCs w:val="1"/>
          <w:color w:val="0f1115"/>
          <w:sz w:val="24"/>
          <w:szCs w:val="24"/>
          <w:rtl w:val="0"/>
        </w:rPr>
        <w:t xml:space="preserve">R v Secretary of State for the Home Dept, ex parte Simms [2000]</w:t>
      </w:r>
      <w:r w:rsidDel="00000000" w:rsidR="00000000" w:rsidRPr="00000000">
        <w:rPr>
          <w:rFonts w:ascii="Roboto" w:cs="Roboto" w:eastAsia="Roboto" w:hAnsi="Roboto"/>
          <w:color w:val="0f1115"/>
          <w:sz w:val="24"/>
          <w:szCs w:val="24"/>
          <w:rtl w:val="0"/>
        </w:rPr>
        <w:t xml:space="preserve">). Interpreting a broad power as not authorising rights-infringing actions is a direct application of this presumption.</w:t>
        <w:br w:type="textWrapping"/>
        <w:t xml:space="preserve">Option A is related but specific to clauses attempting to block judicial review.</w:t>
        <w:br w:type="textWrapping"/>
        <w:t xml:space="preserve">Option B is a narrower presumption specifically against deprivation of liberty without clear authority.</w:t>
        <w:br w:type="textWrapping"/>
        <w:t xml:space="preserve">Option C deals with the temporal application of laws.</w:t>
        <w:br w:type="textWrapping"/>
        <w:t xml:space="preserve">Option E deals with geographical reach.</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court is interpreting the "Waste Management Act 2022." Counsel wishes to refer to a statement made by the Minister during the Act's committee stage in the House of Lords, where the Minister explicitly said, "Clause 5 is not intended to apply to household recycling centres." The statement is clear and addresses the very ambiguity before the court.</w:t>
        <w:br w:type="textWrapping"/>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is such a ministerial statement an admissible aid to interpretation?</w:t>
        <w:br w:type="textWrapping"/>
        <w:t xml:space="preserve">A. It is never admissible, as parliamentary proceedings are privileged and cannot be cited.</w:t>
        <w:br w:type="textWrapping"/>
        <w:t xml:space="preserve">B. It is always admissible as the best evidence of Parliament's intention.</w:t>
        <w:br w:type="textWrapping"/>
        <w:t xml:space="preserve">C. It is admissible only where the legislation is ambiguous, the statement is clear, and was made by the promoter of the Bill.</w:t>
        <w:br w:type="textWrapping"/>
        <w:t xml:space="preserve">D. It is admissible only if the Act received Royal Assent after the Human Rights Act 1998.</w:t>
        <w:br w:type="textWrapping"/>
        <w:t xml:space="preserve">E. It is admissible for any purpose, including to show the general policy background.</w:t>
        <w:br w:type="textWrapping"/>
        <w:t xml:space="preserve">The correct option is C</w:t>
        <w:br w:type="textWrapping"/>
        <w:t xml:space="preserve">Explanation</w:t>
        <w:br w:type="textWrapping"/>
        <w:t xml:space="preserve">Option C is correct. </w:t>
      </w:r>
      <w:r w:rsidDel="00000000" w:rsidR="00000000" w:rsidRPr="00000000">
        <w:rPr>
          <w:rFonts w:ascii="Roboto" w:cs="Roboto" w:eastAsia="Roboto" w:hAnsi="Roboto"/>
          <w:i w:val="1"/>
          <w:iCs w:val="1"/>
          <w:color w:val="0f1115"/>
          <w:sz w:val="24"/>
          <w:szCs w:val="24"/>
          <w:rtl w:val="0"/>
        </w:rPr>
        <w:t xml:space="preserve">Pepper v Hart</w:t>
      </w:r>
      <w:r w:rsidDel="00000000" w:rsidR="00000000" w:rsidRPr="00000000">
        <w:rPr>
          <w:rFonts w:ascii="Roboto" w:cs="Roboto" w:eastAsia="Roboto" w:hAnsi="Roboto"/>
          <w:color w:val="0f1115"/>
          <w:sz w:val="24"/>
          <w:szCs w:val="24"/>
          <w:rtl w:val="0"/>
        </w:rPr>
        <w:t xml:space="preserve"> established a limited exception to the exclusionary rule (that Hansard cannot be consulted). The conditions are: (1) the legislation is ambiguous or obscure, or leads to an absurdity; (2) the material relied upon consists of statements by a minister or other promoter of the Bill; and (3) the statements are clear. The scenario meets these conditions. Subsequent practice has sometimes narrowed its use, but these remain the core criteria.</w:t>
        <w:br w:type="textWrapping"/>
        <w:t xml:space="preserve">Option A is the pre-</w:t>
      </w:r>
      <w:r w:rsidDel="00000000" w:rsidR="00000000" w:rsidRPr="00000000">
        <w:rPr>
          <w:rFonts w:ascii="Roboto" w:cs="Roboto" w:eastAsia="Roboto" w:hAnsi="Roboto"/>
          <w:i w:val="1"/>
          <w:iCs w:val="1"/>
          <w:color w:val="0f1115"/>
          <w:sz w:val="24"/>
          <w:szCs w:val="24"/>
          <w:rtl w:val="0"/>
        </w:rPr>
        <w:t xml:space="preserve">Pepper v Hart</w:t>
      </w:r>
      <w:r w:rsidDel="00000000" w:rsidR="00000000" w:rsidRPr="00000000">
        <w:rPr>
          <w:rFonts w:ascii="Roboto" w:cs="Roboto" w:eastAsia="Roboto" w:hAnsi="Roboto"/>
          <w:color w:val="0f1115"/>
          <w:sz w:val="24"/>
          <w:szCs w:val="24"/>
          <w:rtl w:val="0"/>
        </w:rPr>
        <w:t xml:space="preserve"> position.</w:t>
        <w:br w:type="textWrapping"/>
        <w:t xml:space="preserve">Option B is too broad; admissibility is strictly conditional.</w:t>
        <w:br w:type="textWrapping"/>
        <w:t xml:space="preserve">Option D is incorrect; the admissibility is not tied to the date of the Human Rights Act.</w:t>
        <w:br w:type="textWrapping"/>
        <w:t xml:space="preserve">Option E is incorrect; it cannot be used for general background if the conditions are not met.</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1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Senedd Cymru passes the "Sustainable Farming (Wales) Act 2024." Section 3(1) states (in the English text): "The Welsh Ministers may give financial assistance to persons engaged in sustainable agricultural activity." The Welsh text uses the term "gweithgaredd amaethyddiol cynaliadwy," which has a subtly broader connotation, potentially including some forestry activities. A forestry cooperative claims eligibility for assistance. The Welsh Ministers argue the Act is limited to traditional farming.</w:t>
        <w:br w:type="textWrapping"/>
        <w:t xml:space="preserve">When interpreting this bilingual Act, which of the following is the correct approach for a court?</w:t>
        <w:br w:type="textWrapping"/>
        <w:t xml:space="preserve">A. The English text must prevail because it is the language of the original bill drafting.</w:t>
        <w:br w:type="textWrapping"/>
        <w:t xml:space="preserve">B. The court must adopt the meaning that best reconciles both texts, having regard to the purpose of the Act.</w:t>
        <w:br w:type="textWrapping"/>
        <w:t xml:space="preserve">C. The court should only consider the Welsh text, as the subject matter pertains to Wales.</w:t>
        <w:br w:type="textWrapping"/>
        <w:t xml:space="preserve">D. The court must disregard the Welsh text if it differs from the English, as per the Government of Wales Act 2006.</w:t>
        <w:br w:type="textWrapping"/>
        <w:t xml:space="preserve">E. The court should request an amended version from the Senedd to clarify the discrepancy.</w:t>
        <w:br w:type="textWrapping"/>
        <w:t xml:space="preserve">The correct option is B</w:t>
        <w:br w:type="textWrapping"/>
        <w:t xml:space="preserve">Explanation</w:t>
        <w:br w:type="textWrapping"/>
        <w:t xml:space="preserve">Option B is correct. Under the Government of Wales Act 2006 (s.156(1) and Sch.10, para. 3), the Welsh and English texts of Acts of the Senedd are of equal legal standing. In case of a difference, the interpretation provision requires the court to adopt the interpretation which best reconciles the texts, having regard to the purpose of the provision. The court cannot prefer one language version automatically. It must strive for a unified meaning that gives effect to the bilingual law.</w:t>
        <w:br w:type="textWrapping"/>
        <w:t xml:space="preserve">Option A is incorrect; it contravenes the principle of equal authenticity.</w:t>
        <w:br w:type="textWrapping"/>
        <w:t xml:space="preserve">Option C is incorrect; both texts are equally authentic.</w:t>
        <w:br w:type="textWrapping"/>
        <w:t xml:space="preserve">Option D is the opposite of the statutory rule.</w:t>
        <w:br w:type="textWrapping"/>
        <w:t xml:space="preserve">Option E is incorrect; it is the court's role to interpret the law as enacted.</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"Corporate Manslaughter and Corporate Homicide Act 2007" defines the offence in relation to the way activities are "managed or organised." In deciding whether a company's senior management's conduct fell within this phrase, the Supreme Court in </w:t>
      </w:r>
      <w:r w:rsidDel="00000000" w:rsidR="00000000" w:rsidRPr="00000000">
        <w:rPr>
          <w:rFonts w:ascii="Roboto" w:cs="Roboto" w:eastAsia="Roboto" w:hAnsi="Roboto"/>
          <w:i w:val="1"/>
          <w:iCs w:val="1"/>
          <w:color w:val="0f1115"/>
          <w:sz w:val="24"/>
          <w:szCs w:val="24"/>
          <w:rtl w:val="0"/>
        </w:rPr>
        <w:t xml:space="preserve">R v Horsham and Sons Ltd [2020]</w:t>
      </w:r>
      <w:r w:rsidDel="00000000" w:rsidR="00000000" w:rsidRPr="00000000">
        <w:rPr>
          <w:rFonts w:ascii="Roboto" w:cs="Roboto" w:eastAsia="Roboto" w:hAnsi="Roboto"/>
          <w:color w:val="0f1115"/>
          <w:sz w:val="24"/>
          <w:szCs w:val="24"/>
          <w:rtl w:val="0"/>
        </w:rPr>
        <w:t xml:space="preserve"> considered a report by the Law Commission that had proposed the legislation. The report discussed the problems with prior law and the intended meaning of "management failure."</w:t>
        <w:br w:type="textWrapping"/>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Law Commission report is an example of which kind of interpretative aid?</w:t>
        <w:br w:type="textWrapping"/>
        <w:t xml:space="preserve">A. An intrinsic aid (within the statute itself).</w:t>
        <w:br w:type="textWrapping"/>
        <w:t xml:space="preserve">B. A judicial precedent.</w:t>
        <w:br w:type="textWrapping"/>
        <w:t xml:space="preserve">C. An extrinsic aid (outside the statute itself).</w:t>
        <w:br w:type="textWrapping"/>
        <w:t xml:space="preserve">D. A binding directive on the court.</w:t>
        <w:br w:type="textWrapping"/>
        <w:t xml:space="preserve">E. A statutory instrument made under the Act.</w:t>
        <w:br w:type="textWrapping"/>
        <w:t xml:space="preserve">The correct option is C</w:t>
        <w:br w:type="textWrapping"/>
        <w:t xml:space="preserve">Explanation</w:t>
        <w:br w:type="textWrapping"/>
        <w:t xml:space="preserve">Option C is correct. Extrinsic aids are materials external to the statute itself that can be consulted to aid interpretation. These include Law Commission reports, government white papers, and international treaties (for context). They are persuasive, not binding. </w:t>
      </w:r>
      <w:r w:rsidDel="00000000" w:rsidR="00000000" w:rsidRPr="00000000">
        <w:rPr>
          <w:rFonts w:ascii="Roboto" w:cs="Roboto" w:eastAsia="Roboto" w:hAnsi="Roboto"/>
          <w:i w:val="1"/>
          <w:iCs w:val="1"/>
          <w:color w:val="0f1115"/>
          <w:sz w:val="24"/>
          <w:szCs w:val="24"/>
          <w:rtl w:val="0"/>
        </w:rPr>
        <w:t xml:space="preserve">Pepper v Hart</w:t>
      </w:r>
      <w:r w:rsidDel="00000000" w:rsidR="00000000" w:rsidRPr="00000000">
        <w:rPr>
          <w:rFonts w:ascii="Roboto" w:cs="Roboto" w:eastAsia="Roboto" w:hAnsi="Roboto"/>
          <w:color w:val="0f1115"/>
          <w:sz w:val="24"/>
          <w:szCs w:val="24"/>
          <w:rtl w:val="0"/>
        </w:rPr>
        <w:t xml:space="preserve"> made certain parliamentary materials admissible, but Law Commission reports have long been considered a legitimate extrinsic aid to understand the context and purpose of legislation, especially when it implements Law Commission recommendations.</w:t>
        <w:br w:type="textWrapping"/>
        <w:t xml:space="preserve">Option A is incorrect. Intrinsic aids are found within the Act (e.g., long title, preamble, schedules).</w:t>
        <w:br w:type="textWrapping"/>
        <w:t xml:space="preserve">Option B is incorrect. A Law Commission report is not a judicial decision.</w:t>
        <w:br w:type="textWrapping"/>
        <w:t xml:space="preserve">Option D is incorrect. It is persuasive only.</w:t>
        <w:br w:type="textWrapping"/>
        <w:t xml:space="preserve">Option E is incorrect. It is not subordinate legislation made under the Act; it is a pre-legislative document.</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new Immigration Act contains a provision stating: "A decision of the Secretary of State under this section is final and shall not be appealed against or questioned in any court." An individual affected by such a decision seeks judicial review, arguing it was made unlawfully.</w:t>
        <w:br w:type="textWrapping"/>
        <w:t xml:space="preserve">Which presumption of statutory interpretation is most relevant to the court's approach to this clause?</w:t>
        <w:br w:type="textWrapping"/>
        <w:t xml:space="preserve">A. The presumption against retrospective effect.</w:t>
        <w:br w:type="textWrapping"/>
        <w:t xml:space="preserve">B. The presumption that legislation does not bind the Crown.</w:t>
        <w:br w:type="textWrapping"/>
        <w:t xml:space="preserve">C. The presumption against ousting the jurisdiction of the courts.</w:t>
        <w:br w:type="textWrapping"/>
        <w:t xml:space="preserve">D. The presumption in favour of the liberty of the subject.</w:t>
        <w:br w:type="textWrapping"/>
        <w:t xml:space="preserve">E. The presumption that statutory powers must be exercised reasonably.</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The correct option is C</w:t>
        <w:br w:type="textWrapping"/>
        <w:t xml:space="preserve">Explanation</w:t>
        <w:br w:type="textWrapping"/>
        <w:t xml:space="preserve">Option C is correct. There is a strong common law presumption that Parliament does not intend to exclude the supervisory jurisdiction of the courts (judicial review) unless it does so by the clearest possible words. Clauses that state a decision is "final" are construed as merely making the decision final on the merits, not as excluding review for illegality, irrationality, or procedural unfairness. The court would apply this presumption and likely interpret the clause narrowly, allowing the judicial review to proceed. This is a fundamental principle of constitutional law (see </w:t>
      </w:r>
      <w:r w:rsidDel="00000000" w:rsidR="00000000" w:rsidRPr="00000000">
        <w:rPr>
          <w:rFonts w:ascii="Roboto" w:cs="Roboto" w:eastAsia="Roboto" w:hAnsi="Roboto"/>
          <w:i w:val="1"/>
          <w:iCs w:val="1"/>
          <w:color w:val="0f1115"/>
          <w:sz w:val="24"/>
          <w:szCs w:val="24"/>
          <w:rtl w:val="0"/>
        </w:rPr>
        <w:t xml:space="preserve">Anisminic v Foreign Compensation Commission [1969]</w:t>
      </w:r>
      <w:r w:rsidDel="00000000" w:rsidR="00000000" w:rsidRPr="00000000">
        <w:rPr>
          <w:rFonts w:ascii="Roboto" w:cs="Roboto" w:eastAsia="Roboto" w:hAnsi="Roboto"/>
          <w:color w:val="0f1115"/>
          <w:sz w:val="24"/>
          <w:szCs w:val="24"/>
          <w:rtl w:val="0"/>
        </w:rPr>
        <w:t xml:space="preserve">).</w:t>
        <w:br w:type="textWrapping"/>
        <w:t xml:space="preserve">Option A is irrelevant to this clause.</w:t>
        <w:br w:type="textWrapping"/>
        <w:t xml:space="preserve">Option B deals with whether the Crown is bound by statutes.</w:t>
        <w:br w:type="textWrapping"/>
        <w:t xml:space="preserve">Option D is a broader principle that might be engaged, but the specific and direct presumption here is against ousting the court's jurisdiction.</w:t>
        <w:br w:type="textWrapping"/>
        <w:t xml:space="preserve">Option E is a principle of administrative law, not a specific presumption of interpretation for this clause.</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"Space Industry Act 2023" regulates commercial satellite launches. Section 15 states that a licence is required for "any launch of a spacecraft from the United Kingdom." A company plans to launch a high-altitude balloon from Scotland that will carry a satellite to the upper atmosphere before releasing it. The balloon launch itself does not require a licence under aviation laws. The company argues a balloon is not a "spacecraft."</w:t>
        <w:br w:type="textWrapping"/>
        <w:t xml:space="preserve">In interpreting "spacecraft," a court looks at the INTERNATIONAL TREATY ON OUTER SPACE, to which the UK is a party, which defines a "space object" as including "component parts of a launch vehicle." The Act's explanatory notes also reference this treaty.</w:t>
        <w:br w:type="textWrapping"/>
        <w:t xml:space="preserve">Using these materials is an example of:</w:t>
        <w:br w:type="textWrapping"/>
        <w:t xml:space="preserve">A. Applying the literal rule using a technical dictionary.</w:t>
        <w:br w:type="textWrapping"/>
        <w:t xml:space="preserve">B. Using extrinsic aids and a purposive approach to interpret the Act in its international context.</w:t>
        <w:br w:type="textWrapping"/>
        <w:t xml:space="preserve">C. Applying the </w:t>
      </w:r>
      <w:r w:rsidDel="00000000" w:rsidR="00000000" w:rsidRPr="00000000">
        <w:rPr>
          <w:rFonts w:ascii="Roboto" w:cs="Roboto" w:eastAsia="Roboto" w:hAnsi="Roboto"/>
          <w:i w:val="1"/>
          <w:iCs w:val="1"/>
          <w:color w:val="0f1115"/>
          <w:sz w:val="24"/>
          <w:szCs w:val="24"/>
          <w:rtl w:val="0"/>
        </w:rPr>
        <w:t xml:space="preserve">ejusdem generis</w:t>
      </w:r>
      <w:r w:rsidDel="00000000" w:rsidR="00000000" w:rsidRPr="00000000">
        <w:rPr>
          <w:rFonts w:ascii="Roboto" w:cs="Roboto" w:eastAsia="Roboto" w:hAnsi="Roboto"/>
          <w:color w:val="0f1115"/>
          <w:sz w:val="24"/>
          <w:szCs w:val="24"/>
          <w:rtl w:val="0"/>
        </w:rPr>
        <w:t xml:space="preserve"> rule to a list of terms.</w:t>
        <w:br w:type="textWrapping"/>
        <w:t xml:space="preserve">D. Using the golden rule to avoid an absurd result.</w:t>
        <w:br w:type="textWrapping"/>
        <w:t xml:space="preserve">E. Applying the presumption against taxing the subject.</w:t>
        <w:br w:type="textWrapping"/>
        <w:t xml:space="preserve">The correct option is B</w:t>
        <w:br w:type="textWrapping"/>
        <w:t xml:space="preserve">Explanation</w:t>
        <w:br w:type="textWrapping"/>
        <w:t xml:space="preserve">Option B is correct. The court is looking at materials outside the statute (an international treaty and explanatory notes) to understand the context and purpose of the legislation. The purpose is likely to implement the UK's international obligations and regulate all activities leading to objects in space. A purposive approach, informed by this international context, would favour interpreting "spacecraft" broadly to include the launch system (the balloon) as part of the regulated launch activity. Explanatory notes are a statutory approved extrinsic aid under the Human Rights Act 1998 and are routinely used.</w:t>
        <w:br w:type="textWrapping"/>
        <w:t xml:space="preserve">Option A is incorrect; while a technical dictionary might be used, the specific materials cited are treaty-based and purposive.</w:t>
        <w:br w:type="textWrapping"/>
        <w:t xml:space="preserve">Option C is incorrect; there is no list of terms here.</w:t>
        <w:br w:type="textWrapping"/>
        <w:t xml:space="preserve">Option D is incorrect; absurdity is not the central reasoning cited.</w:t>
        <w:br w:type="textWrapping"/>
        <w:t xml:space="preserve">Option E is irrelevant; this is not a taxing statute.</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Act of the Senedd Cymru, the "Public Health (Wales) Act 2025," grants powers to local authorities. Section 22(4) states: "For the purposes of this section, ‘premises’ includes any land, building, or movable structure." A local authority seeks to exercise a power under this section in relation to a permanently moored houseboat used as a dwelling.</w:t>
        <w:br w:type="textWrapping"/>
        <w:t xml:space="preserve">Which common law presumption is most likely to be applied strictly when interpreting this power, given it interferes with rights in the home?</w:t>
        <w:br w:type="textWrapping"/>
        <w:t xml:space="preserve">A. The presumption against deprivation of property without compensation.</w:t>
        <w:br w:type="textWrapping"/>
        <w:t xml:space="preserve">B. The presumption that legislation does not have extra-territorial effect.</w:t>
        <w:br w:type="textWrapping"/>
        <w:t xml:space="preserve">C. The presumption that legislation does not interfere with the right to peaceful enjoyment of the home without clear words.</w:t>
        <w:br w:type="textWrapping"/>
        <w:t xml:space="preserve">D. The presumption that penal provisions require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w:t>
        <w:br w:type="textWrapping"/>
        <w:t xml:space="preserve">E. The presumption against the abolition of vested rights.</w:t>
        <w:br w:type="textWrapping"/>
        <w:t xml:space="preserve">The correct option is C</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C is correct. There is a strong common law presumption, closely aligned with fundamental rights (including Article 8 ECHR), that Parliament (and by extension, the Senedd) does not intend to authorise interference with the right to respect for one's home without clear and unambiguous language. The inclusive definition of "premises" is broad, but a court would likely require very clear wording to include a person's dwelling place (a home) within a regulatory power, especially if it permits forcible entry. The court would interpret the definition cautiously in light of this presumption.</w:t>
        <w:br w:type="textWrapping"/>
        <w:t xml:space="preserve">Option A is related but more specific to taking property ownership.</w:t>
        <w:br w:type="textWrapping"/>
        <w:t xml:space="preserve">Option B is irrelevant; the houseboat is in Wales.</w:t>
        <w:br w:type="textWrapping"/>
        <w:t xml:space="preserve">Option D relates to criminal liability, not regulatory powers.</w:t>
        <w:br w:type="textWrapping"/>
        <w:t xml:space="preserve">Option E relates to existing legal rights, which may be engaged but the primary presumption here is about the sanctity of the home.</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"Financial Services Act 2022" is complex. A court is trying to interpret the meaning of "approved person" in Section 45. The judge looks at the definition provided in Section 145 of the SAME ACT, which states: "‘approved person’ has the meaning given in the Financial Services and Markets Act 2000, section 59."</w:t>
        <w:br w:type="textWrapping"/>
        <w:t xml:space="preserve">This is an example of using:</w:t>
        <w:br w:type="textWrapping"/>
        <w:t xml:space="preserve">A. An extrinsic aid (a different statute).</w:t>
        <w:br w:type="textWrapping"/>
        <w:t xml:space="preserve">B. An intrinsic aid (a definition section within the same Act).</w:t>
        <w:br w:type="textWrapping"/>
        <w:t xml:space="preserve">C. A judicial precedent.</w:t>
        <w:br w:type="textWrapping"/>
        <w:t xml:space="preserve">D. A statutory instrument.</w:t>
        <w:br w:type="textWrapping"/>
        <w:t xml:space="preserve">E. A legal textbook.</w:t>
        <w:br w:type="textWrapping"/>
        <w:t xml:space="preserve">The correct option is B</w:t>
        <w:br w:type="textWrapping"/>
        <w:t xml:space="preserve">Explanation</w:t>
        <w:br w:type="textWrapping"/>
        <w:t xml:space="preserve">Option B is correct. Intrinsic aids are those found within the statute being interpreted. They include the long title, short title, preamble, headings, schedules, and, most commonly, interpretation or definition sections. Section 145 of the 2022 Act is an internal definition section that forms part of the Act itself. It is the primary and most authoritative source for the meaning of a term within that Act, even if it cross-refers to another statute.</w:t>
        <w:br w:type="textWrapping"/>
        <w:t xml:space="preserve">Option A is incorrect. While the definition points to another Act, the </w:t>
      </w:r>
      <w:r w:rsidDel="00000000" w:rsidR="00000000" w:rsidRPr="00000000">
        <w:rPr>
          <w:rFonts w:ascii="Roboto" w:cs="Roboto" w:eastAsia="Roboto" w:hAnsi="Roboto"/>
          <w:i w:val="1"/>
          <w:iCs w:val="1"/>
          <w:color w:val="0f1115"/>
          <w:sz w:val="24"/>
          <w:szCs w:val="24"/>
          <w:rtl w:val="0"/>
        </w:rPr>
        <w:t xml:space="preserve">source of the definition</w:t>
      </w:r>
      <w:r w:rsidDel="00000000" w:rsidR="00000000" w:rsidRPr="00000000">
        <w:rPr>
          <w:rFonts w:ascii="Roboto" w:cs="Roboto" w:eastAsia="Roboto" w:hAnsi="Roboto"/>
          <w:color w:val="0f1115"/>
          <w:sz w:val="24"/>
          <w:szCs w:val="24"/>
          <w:rtl w:val="0"/>
        </w:rPr>
        <w:t xml:space="preserve"> for the 2022 Act is its own Section 145. The court is using an intrinsic part of the 2022 Act.</w:t>
        <w:br w:type="textWrapping"/>
        <w:t xml:space="preserve">Option C, D, and E are all extrinsic aids, not what is described here.</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r>
    </w:p>
    <w:p w:rsidR="00000000" w:rsidDel="00000000" w:rsidP="00000000" w:rsidRDefault="00000000" w:rsidRPr="00000000" w14:paraId="0000014D">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interpreting legislation, a court presumes that Parliament does not intend to impose criminal liability without a guilty mind. This is the presumption of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A new strict liability offence is created in an environmental statute stating: "It is an offence to discharge any prohibited substance into controlled waters."</w:t>
      </w:r>
    </w:p>
    <w:p w:rsidR="00000000" w:rsidDel="00000000" w:rsidP="00000000" w:rsidRDefault="00000000" w:rsidRPr="00000000" w14:paraId="0000014E">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How can this presumption be rebutted?</w:t>
        <w:br w:type="textWrapping"/>
        <w:t xml:space="preserve">A. It cannot be rebutted; all crimes require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w:t>
        <w:br w:type="textWrapping"/>
        <w:t xml:space="preserve">B. By necessary implication from the wording of the statute and its social purpose</w:t>
        <w:br w:type="textWrapping"/>
        <w:t xml:space="preserve">C. Only by an express statement in the statute that liability is "absolute."</w:t>
        <w:br w:type="textWrapping"/>
        <w:t xml:space="preserve">D. By a ministerial statement in Hansard during the bill's passage.</w:t>
        <w:br w:type="textWrapping"/>
        <w:t xml:space="preserve">E. By the court's own view that the offence is minor ("</w:t>
      </w:r>
      <w:r w:rsidDel="00000000" w:rsidR="00000000" w:rsidRPr="00000000">
        <w:rPr>
          <w:rFonts w:ascii="Roboto" w:cs="Roboto" w:eastAsia="Roboto" w:hAnsi="Roboto"/>
          <w:i w:val="1"/>
          <w:iCs w:val="1"/>
          <w:color w:val="0f1115"/>
          <w:sz w:val="24"/>
          <w:szCs w:val="24"/>
          <w:rtl w:val="0"/>
        </w:rPr>
        <w:t xml:space="preserve">malum prohibitum</w:t>
      </w:r>
      <w:r w:rsidDel="00000000" w:rsidR="00000000" w:rsidRPr="00000000">
        <w:rPr>
          <w:rFonts w:ascii="Roboto" w:cs="Roboto" w:eastAsia="Roboto" w:hAnsi="Roboto"/>
          <w:color w:val="0f1115"/>
          <w:sz w:val="24"/>
          <w:szCs w:val="24"/>
          <w:rtl w:val="0"/>
        </w:rPr>
        <w:t xml:space="preserve">").</w:t>
        <w:br w:type="textWrapping"/>
        <w:t xml:space="preserve">The correct option is B</w:t>
        <w:br w:type="textWrapping"/>
      </w:r>
    </w:p>
    <w:p w:rsidR="00000000" w:rsidDel="00000000" w:rsidP="00000000" w:rsidRDefault="00000000" w:rsidRPr="00000000" w14:paraId="0000014F">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The presumption that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is required can be rebutted by Parliament. Rebuttal is not limited to express words (though that is the clearest way). It can be rebutted by necessary implication from the language, context, and purpose of the statute. This often occurs in "regulatory" or "public welfare" offences (e.g., environmental protection, food safety) where the social importance of prevention is high and proving fault is difficult. Cases like </w:t>
      </w:r>
      <w:r w:rsidDel="00000000" w:rsidR="00000000" w:rsidRPr="00000000">
        <w:rPr>
          <w:rFonts w:ascii="Roboto" w:cs="Roboto" w:eastAsia="Roboto" w:hAnsi="Roboto"/>
          <w:i w:val="1"/>
          <w:iCs w:val="1"/>
          <w:color w:val="0f1115"/>
          <w:sz w:val="24"/>
          <w:szCs w:val="24"/>
          <w:rtl w:val="0"/>
        </w:rPr>
        <w:t xml:space="preserve">Gammon (Hong Kong) Ltd v AG of Hong Kong [1985]</w:t>
      </w:r>
      <w:r w:rsidDel="00000000" w:rsidR="00000000" w:rsidRPr="00000000">
        <w:rPr>
          <w:rFonts w:ascii="Roboto" w:cs="Roboto" w:eastAsia="Roboto" w:hAnsi="Roboto"/>
          <w:color w:val="0f1115"/>
          <w:sz w:val="24"/>
          <w:szCs w:val="24"/>
          <w:rtl w:val="0"/>
        </w:rPr>
        <w:t xml:space="preserve"> set out the test: the presumption stands unless clearly displaced by the statute's wording or subject matter.</w:t>
        <w:br w:type="textWrapping"/>
        <w:t xml:space="preserve">Option A is incorrect; many statutory offences are of strict liability.</w:t>
        <w:br w:type="textWrapping"/>
        <w:t xml:space="preserve">Option C is too restrictive; express words are not the only method.</w:t>
        <w:br w:type="textWrapping"/>
        <w:t xml:space="preserve">Option D is incorrect; while </w:t>
      </w:r>
      <w:r w:rsidDel="00000000" w:rsidR="00000000" w:rsidRPr="00000000">
        <w:rPr>
          <w:rFonts w:ascii="Roboto" w:cs="Roboto" w:eastAsia="Roboto" w:hAnsi="Roboto"/>
          <w:i w:val="1"/>
          <w:iCs w:val="1"/>
          <w:color w:val="0f1115"/>
          <w:sz w:val="24"/>
          <w:szCs w:val="24"/>
          <w:rtl w:val="0"/>
        </w:rPr>
        <w:t xml:space="preserve">Pepper v Hart</w:t>
      </w:r>
      <w:r w:rsidDel="00000000" w:rsidR="00000000" w:rsidRPr="00000000">
        <w:rPr>
          <w:rFonts w:ascii="Roboto" w:cs="Roboto" w:eastAsia="Roboto" w:hAnsi="Roboto"/>
          <w:color w:val="0f1115"/>
          <w:sz w:val="24"/>
          <w:szCs w:val="24"/>
          <w:rtl w:val="0"/>
        </w:rPr>
        <w:t xml:space="preserve"> might allow consultation of Hansard for ambiguity, it would not be the primary means of rebutting a fundamental presumption.</w:t>
        <w:br w:type="textWrapping"/>
        <w:t xml:space="preserve">Option E states a factor courts consider, but it is not the legal test for rebuttal</w:t>
      </w:r>
    </w:p>
    <w:p w:rsidR="00000000" w:rsidDel="00000000" w:rsidP="00000000" w:rsidRDefault="00000000" w:rsidRPr="00000000" w14:paraId="000001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