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C8F38" w14:textId="77777777" w:rsidR="007466B5" w:rsidRDefault="007466B5" w:rsidP="0087130C">
      <w:pPr>
        <w:rPr>
          <w:rFonts w:ascii="Times New Roman" w:hAnsi="Times New Roman" w:cs="Times New Roman"/>
          <w:sz w:val="24"/>
          <w:szCs w:val="24"/>
        </w:rPr>
      </w:pPr>
    </w:p>
    <w:p w14:paraId="3E1E58A4" w14:textId="5822683C" w:rsidR="0087130C" w:rsidRPr="00E47715" w:rsidRDefault="0087130C" w:rsidP="0087130C">
      <w:pPr>
        <w:jc w:val="center"/>
        <w:rPr>
          <w:rFonts w:ascii="Times New Roman" w:hAnsi="Times New Roman" w:cs="Times New Roman"/>
          <w:b/>
          <w:bCs/>
          <w:sz w:val="32"/>
          <w:szCs w:val="32"/>
        </w:rPr>
      </w:pPr>
      <w:r w:rsidRPr="00E47715">
        <w:rPr>
          <w:rFonts w:ascii="Times New Roman" w:hAnsi="Times New Roman" w:cs="Times New Roman"/>
          <w:b/>
          <w:bCs/>
          <w:sz w:val="32"/>
          <w:szCs w:val="32"/>
        </w:rPr>
        <w:t>Constitutional law</w:t>
      </w:r>
    </w:p>
    <w:p w14:paraId="71C649BA" w14:textId="77777777" w:rsidR="003857C7" w:rsidRPr="00FA7FF0" w:rsidRDefault="003857C7" w:rsidP="003857C7">
      <w:pPr>
        <w:rPr>
          <w:rFonts w:ascii="Times New Roman" w:hAnsi="Times New Roman" w:cs="Times New Roman"/>
          <w:b/>
          <w:bCs/>
          <w:sz w:val="24"/>
          <w:szCs w:val="24"/>
        </w:rPr>
      </w:pPr>
      <w:r w:rsidRPr="00FA7FF0">
        <w:rPr>
          <w:rFonts w:ascii="Times New Roman" w:hAnsi="Times New Roman" w:cs="Times New Roman"/>
          <w:b/>
          <w:bCs/>
          <w:sz w:val="24"/>
          <w:szCs w:val="24"/>
        </w:rPr>
        <w:t>Video 1 – The UK Constitution: Foundations and Principles</w:t>
      </w:r>
    </w:p>
    <w:p w14:paraId="2236EF9A" w14:textId="77777777" w:rsidR="00FA7FF0" w:rsidRDefault="00FA7FF0" w:rsidP="00FA7FF0">
      <w:pPr>
        <w:jc w:val="center"/>
        <w:rPr>
          <w:rFonts w:ascii="Times New Roman" w:hAnsi="Times New Roman" w:cs="Times New Roman"/>
          <w:sz w:val="24"/>
          <w:szCs w:val="24"/>
        </w:rPr>
      </w:pPr>
      <w:r w:rsidRPr="00FA7FF0">
        <w:rPr>
          <w:rFonts w:ascii="Times New Roman" w:hAnsi="Times New Roman" w:cs="Times New Roman"/>
          <w:sz w:val="24"/>
          <w:szCs w:val="24"/>
        </w:rPr>
        <w:t>This video provides a comprehensive introduction to the unique, uncodified constitution of the United Kingdom. You will explore its distinctive characteristics, understand its core foundational principles, and examine the diverse sources from which it is drawn. This foundational knowledge is essential for grasping how constitutional law operates in the UK context, setting the stage for deeper exploration of institutional powers and individual rights.</w:t>
      </w:r>
    </w:p>
    <w:p w14:paraId="09E588AE" w14:textId="731FB385" w:rsidR="003857C7" w:rsidRPr="003857C7" w:rsidRDefault="003857C7" w:rsidP="003857C7">
      <w:pPr>
        <w:rPr>
          <w:rFonts w:ascii="Times New Roman" w:hAnsi="Times New Roman" w:cs="Times New Roman"/>
          <w:sz w:val="24"/>
          <w:szCs w:val="24"/>
        </w:rPr>
      </w:pPr>
      <w:r w:rsidRPr="003857C7">
        <w:rPr>
          <w:rFonts w:ascii="Times New Roman" w:hAnsi="Times New Roman" w:cs="Times New Roman"/>
          <w:sz w:val="24"/>
          <w:szCs w:val="24"/>
        </w:rPr>
        <w:t>Key areas covered</w:t>
      </w:r>
    </w:p>
    <w:p w14:paraId="6DE494BA" w14:textId="2402A2D8" w:rsidR="003857C7" w:rsidRPr="00FA7FF0" w:rsidRDefault="003857C7" w:rsidP="00FA7FF0">
      <w:pPr>
        <w:pStyle w:val="ListParagraph"/>
        <w:numPr>
          <w:ilvl w:val="0"/>
          <w:numId w:val="21"/>
        </w:numPr>
        <w:rPr>
          <w:rFonts w:ascii="Times New Roman" w:hAnsi="Times New Roman" w:cs="Times New Roman"/>
          <w:sz w:val="24"/>
          <w:szCs w:val="24"/>
        </w:rPr>
      </w:pPr>
      <w:r w:rsidRPr="00FA7FF0">
        <w:rPr>
          <w:rFonts w:ascii="Times New Roman" w:hAnsi="Times New Roman" w:cs="Times New Roman"/>
          <w:sz w:val="24"/>
          <w:szCs w:val="24"/>
        </w:rPr>
        <w:t>Uncodified, unitary, and flexible nature</w:t>
      </w:r>
    </w:p>
    <w:p w14:paraId="7BDA62B7" w14:textId="130E3B39" w:rsidR="003857C7" w:rsidRPr="00FA7FF0" w:rsidRDefault="003857C7" w:rsidP="00FA7FF0">
      <w:pPr>
        <w:pStyle w:val="ListParagraph"/>
        <w:numPr>
          <w:ilvl w:val="0"/>
          <w:numId w:val="21"/>
        </w:numPr>
        <w:rPr>
          <w:rFonts w:ascii="Times New Roman" w:hAnsi="Times New Roman" w:cs="Times New Roman"/>
          <w:sz w:val="24"/>
          <w:szCs w:val="24"/>
        </w:rPr>
      </w:pPr>
      <w:r w:rsidRPr="00FA7FF0">
        <w:rPr>
          <w:rFonts w:ascii="Times New Roman" w:hAnsi="Times New Roman" w:cs="Times New Roman"/>
          <w:sz w:val="24"/>
          <w:szCs w:val="24"/>
        </w:rPr>
        <w:t>Parliamentary Sovereignty, Rule of Law, Separation of Powers</w:t>
      </w:r>
    </w:p>
    <w:p w14:paraId="0C50E01F" w14:textId="22AEAEC4" w:rsidR="003857C7" w:rsidRPr="00FA7FF0" w:rsidRDefault="003857C7" w:rsidP="00FA7FF0">
      <w:pPr>
        <w:pStyle w:val="ListParagraph"/>
        <w:numPr>
          <w:ilvl w:val="0"/>
          <w:numId w:val="21"/>
        </w:numPr>
        <w:rPr>
          <w:rFonts w:ascii="Times New Roman" w:hAnsi="Times New Roman" w:cs="Times New Roman"/>
          <w:sz w:val="24"/>
          <w:szCs w:val="24"/>
        </w:rPr>
      </w:pPr>
      <w:r w:rsidRPr="00FA7FF0">
        <w:rPr>
          <w:rFonts w:ascii="Times New Roman" w:hAnsi="Times New Roman" w:cs="Times New Roman"/>
          <w:sz w:val="24"/>
          <w:szCs w:val="24"/>
        </w:rPr>
        <w:t xml:space="preserve">Sources of the </w:t>
      </w:r>
      <w:r w:rsidR="00441C39">
        <w:rPr>
          <w:rFonts w:ascii="Times New Roman" w:hAnsi="Times New Roman" w:cs="Times New Roman"/>
          <w:sz w:val="24"/>
          <w:szCs w:val="24"/>
        </w:rPr>
        <w:t>Constitution</w:t>
      </w:r>
    </w:p>
    <w:p w14:paraId="15B2C7F3" w14:textId="77777777" w:rsidR="003857C7" w:rsidRPr="00FA7FF0" w:rsidRDefault="003857C7" w:rsidP="00FA7FF0">
      <w:pPr>
        <w:pStyle w:val="ListParagraph"/>
        <w:numPr>
          <w:ilvl w:val="0"/>
          <w:numId w:val="21"/>
        </w:numPr>
        <w:rPr>
          <w:rFonts w:ascii="Times New Roman" w:hAnsi="Times New Roman" w:cs="Times New Roman"/>
          <w:sz w:val="24"/>
          <w:szCs w:val="24"/>
        </w:rPr>
      </w:pPr>
      <w:r w:rsidRPr="00FA7FF0">
        <w:rPr>
          <w:rFonts w:ascii="Times New Roman" w:hAnsi="Times New Roman" w:cs="Times New Roman"/>
          <w:sz w:val="24"/>
          <w:szCs w:val="24"/>
        </w:rPr>
        <w:t>Legitimacy and constitutional conventions</w:t>
      </w:r>
    </w:p>
    <w:p w14:paraId="06AD8215" w14:textId="77777777" w:rsidR="003857C7" w:rsidRPr="003857C7" w:rsidRDefault="003857C7" w:rsidP="003857C7">
      <w:pPr>
        <w:rPr>
          <w:rFonts w:ascii="Times New Roman" w:hAnsi="Times New Roman" w:cs="Times New Roman"/>
          <w:sz w:val="24"/>
          <w:szCs w:val="24"/>
        </w:rPr>
      </w:pPr>
    </w:p>
    <w:p w14:paraId="49641A13" w14:textId="77777777" w:rsidR="003857C7" w:rsidRPr="00FA7FF0" w:rsidRDefault="003857C7" w:rsidP="003857C7">
      <w:pPr>
        <w:rPr>
          <w:rFonts w:ascii="Times New Roman" w:hAnsi="Times New Roman" w:cs="Times New Roman"/>
          <w:b/>
          <w:bCs/>
          <w:sz w:val="24"/>
          <w:szCs w:val="24"/>
        </w:rPr>
      </w:pPr>
      <w:r w:rsidRPr="00FA7FF0">
        <w:rPr>
          <w:rFonts w:ascii="Times New Roman" w:hAnsi="Times New Roman" w:cs="Times New Roman"/>
          <w:b/>
          <w:bCs/>
          <w:sz w:val="24"/>
          <w:szCs w:val="24"/>
        </w:rPr>
        <w:t>Video 2 – The UK's Core Institutions and Their Interrelationship</w:t>
      </w:r>
    </w:p>
    <w:p w14:paraId="40255EFC" w14:textId="77777777" w:rsidR="00FA7FF0" w:rsidRDefault="00FA7FF0" w:rsidP="00FA7FF0">
      <w:pPr>
        <w:jc w:val="both"/>
        <w:rPr>
          <w:rFonts w:ascii="Times New Roman" w:hAnsi="Times New Roman" w:cs="Times New Roman"/>
          <w:sz w:val="24"/>
          <w:szCs w:val="24"/>
        </w:rPr>
      </w:pPr>
      <w:r w:rsidRPr="00FA7FF0">
        <w:rPr>
          <w:rFonts w:ascii="Times New Roman" w:hAnsi="Times New Roman" w:cs="Times New Roman"/>
          <w:sz w:val="24"/>
          <w:szCs w:val="24"/>
        </w:rPr>
        <w:t>This video offers a detailed analysis of the five principal institutions of the UK state: the Monarchy, Government, Parliament, Devolved Administrations, and the Judiciary. You will learn about their distinct roles, powers, and the intricate ways they interact to distribute and control state power, ensuring a system of accountability and upholding the rule of law within a framework of parliamentary sovereignty.</w:t>
      </w:r>
    </w:p>
    <w:p w14:paraId="2A08D5FD" w14:textId="4D93F4DB" w:rsidR="003857C7" w:rsidRPr="003857C7" w:rsidRDefault="003857C7" w:rsidP="003857C7">
      <w:pPr>
        <w:rPr>
          <w:rFonts w:ascii="Times New Roman" w:hAnsi="Times New Roman" w:cs="Times New Roman"/>
          <w:sz w:val="24"/>
          <w:szCs w:val="24"/>
        </w:rPr>
      </w:pPr>
      <w:r w:rsidRPr="003857C7">
        <w:rPr>
          <w:rFonts w:ascii="Times New Roman" w:hAnsi="Times New Roman" w:cs="Times New Roman"/>
          <w:sz w:val="24"/>
          <w:szCs w:val="24"/>
        </w:rPr>
        <w:t>Key areas covered</w:t>
      </w:r>
    </w:p>
    <w:p w14:paraId="7189C74C" w14:textId="386618AF" w:rsidR="003857C7" w:rsidRPr="00FA7FF0" w:rsidRDefault="003857C7" w:rsidP="00FA7FF0">
      <w:pPr>
        <w:pStyle w:val="ListParagraph"/>
        <w:numPr>
          <w:ilvl w:val="0"/>
          <w:numId w:val="20"/>
        </w:numPr>
        <w:rPr>
          <w:rFonts w:ascii="Times New Roman" w:hAnsi="Times New Roman" w:cs="Times New Roman"/>
          <w:sz w:val="24"/>
          <w:szCs w:val="24"/>
        </w:rPr>
      </w:pPr>
      <w:r w:rsidRPr="00FA7FF0">
        <w:rPr>
          <w:rFonts w:ascii="Times New Roman" w:hAnsi="Times New Roman" w:cs="Times New Roman"/>
          <w:sz w:val="24"/>
          <w:szCs w:val="24"/>
        </w:rPr>
        <w:t>The modern Monarch and the Crown</w:t>
      </w:r>
    </w:p>
    <w:p w14:paraId="663CE59E" w14:textId="4C5EF7DF" w:rsidR="003857C7" w:rsidRPr="00FA7FF0" w:rsidRDefault="003857C7" w:rsidP="00FA7FF0">
      <w:pPr>
        <w:pStyle w:val="ListParagraph"/>
        <w:numPr>
          <w:ilvl w:val="0"/>
          <w:numId w:val="20"/>
        </w:numPr>
        <w:rPr>
          <w:rFonts w:ascii="Times New Roman" w:hAnsi="Times New Roman" w:cs="Times New Roman"/>
          <w:sz w:val="24"/>
          <w:szCs w:val="24"/>
        </w:rPr>
      </w:pPr>
      <w:r w:rsidRPr="00FA7FF0">
        <w:rPr>
          <w:rFonts w:ascii="Times New Roman" w:hAnsi="Times New Roman" w:cs="Times New Roman"/>
          <w:sz w:val="24"/>
          <w:szCs w:val="24"/>
        </w:rPr>
        <w:t>Central government and ministerial responsibility</w:t>
      </w:r>
    </w:p>
    <w:p w14:paraId="7C22CCDA" w14:textId="01023860" w:rsidR="003857C7" w:rsidRPr="00FA7FF0" w:rsidRDefault="003857C7" w:rsidP="00FA7FF0">
      <w:pPr>
        <w:pStyle w:val="ListParagraph"/>
        <w:numPr>
          <w:ilvl w:val="0"/>
          <w:numId w:val="20"/>
        </w:numPr>
        <w:rPr>
          <w:rFonts w:ascii="Times New Roman" w:hAnsi="Times New Roman" w:cs="Times New Roman"/>
          <w:sz w:val="24"/>
          <w:szCs w:val="24"/>
        </w:rPr>
      </w:pPr>
      <w:r w:rsidRPr="00FA7FF0">
        <w:rPr>
          <w:rFonts w:ascii="Times New Roman" w:hAnsi="Times New Roman" w:cs="Times New Roman"/>
          <w:sz w:val="24"/>
          <w:szCs w:val="24"/>
        </w:rPr>
        <w:t xml:space="preserve">Parliamentary Sovereignty and </w:t>
      </w:r>
      <w:r w:rsidR="00FA7FF0" w:rsidRPr="00FA7FF0">
        <w:rPr>
          <w:rFonts w:ascii="Times New Roman" w:hAnsi="Times New Roman" w:cs="Times New Roman"/>
          <w:sz w:val="24"/>
          <w:szCs w:val="24"/>
        </w:rPr>
        <w:t>Modern Challenges</w:t>
      </w:r>
    </w:p>
    <w:p w14:paraId="5E19B7E3" w14:textId="77777777" w:rsidR="003857C7" w:rsidRPr="00FA7FF0" w:rsidRDefault="003857C7" w:rsidP="00FA7FF0">
      <w:pPr>
        <w:pStyle w:val="ListParagraph"/>
        <w:numPr>
          <w:ilvl w:val="0"/>
          <w:numId w:val="20"/>
        </w:numPr>
        <w:rPr>
          <w:rFonts w:ascii="Times New Roman" w:hAnsi="Times New Roman" w:cs="Times New Roman"/>
          <w:sz w:val="24"/>
          <w:szCs w:val="24"/>
        </w:rPr>
      </w:pPr>
      <w:r w:rsidRPr="00FA7FF0">
        <w:rPr>
          <w:rFonts w:ascii="Times New Roman" w:hAnsi="Times New Roman" w:cs="Times New Roman"/>
          <w:sz w:val="24"/>
          <w:szCs w:val="24"/>
        </w:rPr>
        <w:t>Role of the Judiciary and devolved administrations</w:t>
      </w:r>
    </w:p>
    <w:p w14:paraId="1BB06080" w14:textId="77777777" w:rsidR="003857C7" w:rsidRPr="00FA7FF0" w:rsidRDefault="003857C7" w:rsidP="003857C7">
      <w:pPr>
        <w:rPr>
          <w:rFonts w:ascii="Times New Roman" w:hAnsi="Times New Roman" w:cs="Times New Roman"/>
          <w:b/>
          <w:bCs/>
          <w:sz w:val="24"/>
          <w:szCs w:val="24"/>
        </w:rPr>
      </w:pPr>
    </w:p>
    <w:p w14:paraId="5872CA97" w14:textId="77777777" w:rsidR="003857C7" w:rsidRPr="003857C7" w:rsidRDefault="003857C7" w:rsidP="003857C7">
      <w:pPr>
        <w:rPr>
          <w:rFonts w:ascii="Times New Roman" w:hAnsi="Times New Roman" w:cs="Times New Roman"/>
          <w:sz w:val="24"/>
          <w:szCs w:val="24"/>
        </w:rPr>
      </w:pPr>
      <w:r w:rsidRPr="00FA7FF0">
        <w:rPr>
          <w:rFonts w:ascii="Times New Roman" w:hAnsi="Times New Roman" w:cs="Times New Roman"/>
          <w:b/>
          <w:bCs/>
          <w:sz w:val="24"/>
          <w:szCs w:val="24"/>
        </w:rPr>
        <w:t>Video 3 – Executive Power: Prerogative and Accountability</w:t>
      </w:r>
    </w:p>
    <w:p w14:paraId="2C0B6644" w14:textId="77777777" w:rsidR="00FA7FF0" w:rsidRDefault="00FA7FF0" w:rsidP="003857C7">
      <w:pPr>
        <w:rPr>
          <w:rFonts w:ascii="Times New Roman" w:hAnsi="Times New Roman" w:cs="Times New Roman"/>
          <w:sz w:val="24"/>
          <w:szCs w:val="24"/>
        </w:rPr>
      </w:pPr>
      <w:r w:rsidRPr="00FA7FF0">
        <w:rPr>
          <w:rFonts w:ascii="Times New Roman" w:hAnsi="Times New Roman" w:cs="Times New Roman"/>
          <w:sz w:val="24"/>
          <w:szCs w:val="24"/>
        </w:rPr>
        <w:t>This video demystifies the ancient source of executive authority known as the royal prerogative, explaining its modern application and limitations. You will learn how prerogative powers are defined, how they interact with and are constrained by statute law, and the crucial mechanisms</w:t>
      </w:r>
      <w:r>
        <w:rPr>
          <w:rFonts w:ascii="Times New Roman" w:hAnsi="Times New Roman" w:cs="Times New Roman"/>
          <w:sz w:val="24"/>
          <w:szCs w:val="24"/>
        </w:rPr>
        <w:t xml:space="preserve">, </w:t>
      </w:r>
      <w:r w:rsidRPr="00FA7FF0">
        <w:rPr>
          <w:rFonts w:ascii="Times New Roman" w:hAnsi="Times New Roman" w:cs="Times New Roman"/>
          <w:sz w:val="24"/>
          <w:szCs w:val="24"/>
        </w:rPr>
        <w:t>both judicial and political</w:t>
      </w:r>
      <w:r>
        <w:rPr>
          <w:rFonts w:ascii="Times New Roman" w:hAnsi="Times New Roman" w:cs="Times New Roman"/>
          <w:sz w:val="24"/>
          <w:szCs w:val="24"/>
        </w:rPr>
        <w:t xml:space="preserve">, </w:t>
      </w:r>
      <w:r w:rsidRPr="00FA7FF0">
        <w:rPr>
          <w:rFonts w:ascii="Times New Roman" w:hAnsi="Times New Roman" w:cs="Times New Roman"/>
          <w:sz w:val="24"/>
          <w:szCs w:val="24"/>
        </w:rPr>
        <w:t>that exist to hold the government accountable for their exercise in a contemporary democratic system.</w:t>
      </w:r>
    </w:p>
    <w:p w14:paraId="4C4C5CCD" w14:textId="5B10BC0F" w:rsidR="003857C7" w:rsidRPr="003857C7" w:rsidRDefault="003857C7" w:rsidP="003857C7">
      <w:pPr>
        <w:rPr>
          <w:rFonts w:ascii="Times New Roman" w:hAnsi="Times New Roman" w:cs="Times New Roman"/>
          <w:sz w:val="24"/>
          <w:szCs w:val="24"/>
        </w:rPr>
      </w:pPr>
      <w:r w:rsidRPr="003857C7">
        <w:rPr>
          <w:rFonts w:ascii="Times New Roman" w:hAnsi="Times New Roman" w:cs="Times New Roman"/>
          <w:sz w:val="24"/>
          <w:szCs w:val="24"/>
        </w:rPr>
        <w:t>Key areas covered</w:t>
      </w:r>
    </w:p>
    <w:p w14:paraId="5DE92FB0" w14:textId="2B4139E1" w:rsidR="003857C7" w:rsidRPr="00FA7FF0" w:rsidRDefault="003857C7" w:rsidP="00FA7FF0">
      <w:pPr>
        <w:pStyle w:val="ListParagraph"/>
        <w:numPr>
          <w:ilvl w:val="0"/>
          <w:numId w:val="19"/>
        </w:numPr>
        <w:rPr>
          <w:rFonts w:ascii="Times New Roman" w:hAnsi="Times New Roman" w:cs="Times New Roman"/>
          <w:sz w:val="24"/>
          <w:szCs w:val="24"/>
        </w:rPr>
      </w:pPr>
      <w:r w:rsidRPr="00FA7FF0">
        <w:rPr>
          <w:rFonts w:ascii="Times New Roman" w:hAnsi="Times New Roman" w:cs="Times New Roman"/>
          <w:sz w:val="24"/>
          <w:szCs w:val="24"/>
        </w:rPr>
        <w:t>Royal prerogative powers</w:t>
      </w:r>
    </w:p>
    <w:p w14:paraId="4440EB12" w14:textId="70BA043B" w:rsidR="003857C7" w:rsidRPr="00FA7FF0" w:rsidRDefault="003857C7" w:rsidP="00FA7FF0">
      <w:pPr>
        <w:pStyle w:val="ListParagraph"/>
        <w:numPr>
          <w:ilvl w:val="0"/>
          <w:numId w:val="19"/>
        </w:numPr>
        <w:rPr>
          <w:rFonts w:ascii="Times New Roman" w:hAnsi="Times New Roman" w:cs="Times New Roman"/>
          <w:sz w:val="24"/>
          <w:szCs w:val="24"/>
        </w:rPr>
      </w:pPr>
      <w:r w:rsidRPr="00FA7FF0">
        <w:rPr>
          <w:rFonts w:ascii="Times New Roman" w:hAnsi="Times New Roman" w:cs="Times New Roman"/>
          <w:sz w:val="24"/>
          <w:szCs w:val="24"/>
        </w:rPr>
        <w:t>Relationship with statute law</w:t>
      </w:r>
    </w:p>
    <w:p w14:paraId="184E566C" w14:textId="691F4C2B" w:rsidR="003857C7" w:rsidRPr="00FA7FF0" w:rsidRDefault="003857C7" w:rsidP="00FA7FF0">
      <w:pPr>
        <w:pStyle w:val="ListParagraph"/>
        <w:numPr>
          <w:ilvl w:val="0"/>
          <w:numId w:val="19"/>
        </w:numPr>
        <w:rPr>
          <w:rFonts w:ascii="Times New Roman" w:hAnsi="Times New Roman" w:cs="Times New Roman"/>
          <w:sz w:val="24"/>
          <w:szCs w:val="24"/>
        </w:rPr>
      </w:pPr>
      <w:r w:rsidRPr="00FA7FF0">
        <w:rPr>
          <w:rFonts w:ascii="Times New Roman" w:hAnsi="Times New Roman" w:cs="Times New Roman"/>
          <w:sz w:val="24"/>
          <w:szCs w:val="24"/>
        </w:rPr>
        <w:t>Judicial review of prerogative power</w:t>
      </w:r>
    </w:p>
    <w:p w14:paraId="10562416" w14:textId="77777777" w:rsidR="003857C7" w:rsidRPr="00FA7FF0" w:rsidRDefault="003857C7" w:rsidP="00FA7FF0">
      <w:pPr>
        <w:pStyle w:val="ListParagraph"/>
        <w:numPr>
          <w:ilvl w:val="0"/>
          <w:numId w:val="19"/>
        </w:numPr>
        <w:rPr>
          <w:rFonts w:ascii="Times New Roman" w:hAnsi="Times New Roman" w:cs="Times New Roman"/>
          <w:sz w:val="24"/>
          <w:szCs w:val="24"/>
        </w:rPr>
      </w:pPr>
      <w:r w:rsidRPr="00FA7FF0">
        <w:rPr>
          <w:rFonts w:ascii="Times New Roman" w:hAnsi="Times New Roman" w:cs="Times New Roman"/>
          <w:sz w:val="24"/>
          <w:szCs w:val="24"/>
        </w:rPr>
        <w:t>Political accountability mechanisms</w:t>
      </w:r>
    </w:p>
    <w:p w14:paraId="53B311F8" w14:textId="77777777" w:rsidR="003857C7" w:rsidRPr="003857C7" w:rsidRDefault="003857C7" w:rsidP="003857C7">
      <w:pPr>
        <w:rPr>
          <w:rFonts w:ascii="Times New Roman" w:hAnsi="Times New Roman" w:cs="Times New Roman"/>
          <w:sz w:val="24"/>
          <w:szCs w:val="24"/>
        </w:rPr>
      </w:pPr>
    </w:p>
    <w:p w14:paraId="17C536DB" w14:textId="77777777" w:rsidR="003857C7" w:rsidRPr="00FA7FF0" w:rsidRDefault="003857C7" w:rsidP="003857C7">
      <w:pPr>
        <w:rPr>
          <w:rFonts w:ascii="Times New Roman" w:hAnsi="Times New Roman" w:cs="Times New Roman"/>
          <w:b/>
          <w:bCs/>
          <w:sz w:val="24"/>
          <w:szCs w:val="24"/>
        </w:rPr>
      </w:pPr>
      <w:r w:rsidRPr="00FA7FF0">
        <w:rPr>
          <w:rFonts w:ascii="Times New Roman" w:hAnsi="Times New Roman" w:cs="Times New Roman"/>
          <w:b/>
          <w:bCs/>
          <w:sz w:val="24"/>
          <w:szCs w:val="24"/>
        </w:rPr>
        <w:t>Video 4 – The Legislative Process and the Hierarchy of Law</w:t>
      </w:r>
    </w:p>
    <w:p w14:paraId="13F2EA9D" w14:textId="77777777" w:rsidR="00FA7FF0" w:rsidRDefault="00FA7FF0" w:rsidP="00FA7FF0">
      <w:pPr>
        <w:jc w:val="both"/>
        <w:rPr>
          <w:rFonts w:ascii="Times New Roman" w:hAnsi="Times New Roman" w:cs="Times New Roman"/>
          <w:sz w:val="24"/>
          <w:szCs w:val="24"/>
        </w:rPr>
      </w:pPr>
      <w:r w:rsidRPr="00FA7FF0">
        <w:rPr>
          <w:rFonts w:ascii="Times New Roman" w:hAnsi="Times New Roman" w:cs="Times New Roman"/>
          <w:sz w:val="24"/>
          <w:szCs w:val="24"/>
        </w:rPr>
        <w:t>This video guides you step-by-step through the complete lifecycle of UK law, from a bill's introduction to its enactment and potential repeal. You will examine different types of bills, understand the critical role and scrutiny of delegated legislation, and explore how devolution has created distinct law-making processes in Wales, Scotland, and Northern Ireland, all within the UK's constitutional hierarchy.</w:t>
      </w:r>
    </w:p>
    <w:p w14:paraId="68CBA849" w14:textId="1AE66665" w:rsidR="003857C7" w:rsidRPr="003857C7" w:rsidRDefault="003857C7" w:rsidP="00FA7FF0">
      <w:pPr>
        <w:jc w:val="both"/>
        <w:rPr>
          <w:rFonts w:ascii="Times New Roman" w:hAnsi="Times New Roman" w:cs="Times New Roman"/>
          <w:sz w:val="24"/>
          <w:szCs w:val="24"/>
        </w:rPr>
      </w:pPr>
      <w:r w:rsidRPr="003857C7">
        <w:rPr>
          <w:rFonts w:ascii="Times New Roman" w:hAnsi="Times New Roman" w:cs="Times New Roman"/>
          <w:sz w:val="24"/>
          <w:szCs w:val="24"/>
        </w:rPr>
        <w:t>Key areas covered</w:t>
      </w:r>
    </w:p>
    <w:p w14:paraId="77DA6BDF" w14:textId="4842A388" w:rsidR="003857C7" w:rsidRPr="00FA7FF0" w:rsidRDefault="003857C7" w:rsidP="00FA7FF0">
      <w:pPr>
        <w:pStyle w:val="ListParagraph"/>
        <w:numPr>
          <w:ilvl w:val="0"/>
          <w:numId w:val="18"/>
        </w:numPr>
        <w:rPr>
          <w:rFonts w:ascii="Times New Roman" w:hAnsi="Times New Roman" w:cs="Times New Roman"/>
          <w:sz w:val="24"/>
          <w:szCs w:val="24"/>
        </w:rPr>
      </w:pPr>
      <w:r w:rsidRPr="00FA7FF0">
        <w:rPr>
          <w:rFonts w:ascii="Times New Roman" w:hAnsi="Times New Roman" w:cs="Times New Roman"/>
          <w:sz w:val="24"/>
          <w:szCs w:val="24"/>
        </w:rPr>
        <w:t>The legislative process through Parliament</w:t>
      </w:r>
    </w:p>
    <w:p w14:paraId="0F8D4EF1" w14:textId="0ACBD1F7" w:rsidR="003857C7" w:rsidRPr="00FA7FF0" w:rsidRDefault="003857C7" w:rsidP="00FA7FF0">
      <w:pPr>
        <w:pStyle w:val="ListParagraph"/>
        <w:numPr>
          <w:ilvl w:val="0"/>
          <w:numId w:val="18"/>
        </w:numPr>
        <w:rPr>
          <w:rFonts w:ascii="Times New Roman" w:hAnsi="Times New Roman" w:cs="Times New Roman"/>
          <w:sz w:val="24"/>
          <w:szCs w:val="24"/>
        </w:rPr>
      </w:pPr>
      <w:r w:rsidRPr="00FA7FF0">
        <w:rPr>
          <w:rFonts w:ascii="Times New Roman" w:hAnsi="Times New Roman" w:cs="Times New Roman"/>
          <w:sz w:val="24"/>
          <w:szCs w:val="24"/>
        </w:rPr>
        <w:t>Types of bills</w:t>
      </w:r>
    </w:p>
    <w:p w14:paraId="73CE3AEE" w14:textId="05C406D0" w:rsidR="003857C7" w:rsidRPr="00FA7FF0" w:rsidRDefault="003857C7" w:rsidP="00FA7FF0">
      <w:pPr>
        <w:pStyle w:val="ListParagraph"/>
        <w:numPr>
          <w:ilvl w:val="0"/>
          <w:numId w:val="18"/>
        </w:numPr>
        <w:rPr>
          <w:rFonts w:ascii="Times New Roman" w:hAnsi="Times New Roman" w:cs="Times New Roman"/>
          <w:sz w:val="24"/>
          <w:szCs w:val="24"/>
        </w:rPr>
      </w:pPr>
      <w:r w:rsidRPr="00FA7FF0">
        <w:rPr>
          <w:rFonts w:ascii="Times New Roman" w:hAnsi="Times New Roman" w:cs="Times New Roman"/>
          <w:sz w:val="24"/>
          <w:szCs w:val="24"/>
        </w:rPr>
        <w:t xml:space="preserve">Delegated legislation and </w:t>
      </w:r>
      <w:r w:rsidR="00FA7FF0" w:rsidRPr="00FA7FF0">
        <w:rPr>
          <w:rFonts w:ascii="Times New Roman" w:hAnsi="Times New Roman" w:cs="Times New Roman"/>
          <w:sz w:val="24"/>
          <w:szCs w:val="24"/>
        </w:rPr>
        <w:t>scrutiny</w:t>
      </w:r>
    </w:p>
    <w:p w14:paraId="49B7B159" w14:textId="77777777" w:rsidR="003857C7" w:rsidRPr="00FA7FF0" w:rsidRDefault="003857C7" w:rsidP="00FA7FF0">
      <w:pPr>
        <w:pStyle w:val="ListParagraph"/>
        <w:numPr>
          <w:ilvl w:val="0"/>
          <w:numId w:val="18"/>
        </w:numPr>
        <w:rPr>
          <w:rFonts w:ascii="Times New Roman" w:hAnsi="Times New Roman" w:cs="Times New Roman"/>
          <w:sz w:val="24"/>
          <w:szCs w:val="24"/>
        </w:rPr>
      </w:pPr>
      <w:r w:rsidRPr="00FA7FF0">
        <w:rPr>
          <w:rFonts w:ascii="Times New Roman" w:hAnsi="Times New Roman" w:cs="Times New Roman"/>
          <w:sz w:val="24"/>
          <w:szCs w:val="24"/>
        </w:rPr>
        <w:t>Devolution and legislative competence</w:t>
      </w:r>
    </w:p>
    <w:p w14:paraId="271B8AF6" w14:textId="77777777" w:rsidR="003857C7" w:rsidRPr="003857C7" w:rsidRDefault="003857C7" w:rsidP="003857C7">
      <w:pPr>
        <w:rPr>
          <w:rFonts w:ascii="Times New Roman" w:hAnsi="Times New Roman" w:cs="Times New Roman"/>
          <w:sz w:val="24"/>
          <w:szCs w:val="24"/>
        </w:rPr>
      </w:pPr>
    </w:p>
    <w:p w14:paraId="66AEBADC" w14:textId="77777777" w:rsidR="003857C7" w:rsidRPr="003857C7" w:rsidRDefault="003857C7" w:rsidP="003857C7">
      <w:pPr>
        <w:rPr>
          <w:rFonts w:ascii="Times New Roman" w:hAnsi="Times New Roman" w:cs="Times New Roman"/>
          <w:sz w:val="24"/>
          <w:szCs w:val="24"/>
        </w:rPr>
      </w:pPr>
      <w:r w:rsidRPr="003857C7">
        <w:rPr>
          <w:rFonts w:ascii="Times New Roman" w:hAnsi="Times New Roman" w:cs="Times New Roman"/>
          <w:sz w:val="24"/>
          <w:szCs w:val="24"/>
        </w:rPr>
        <w:t>Video 5 – Public Order Law</w:t>
      </w:r>
    </w:p>
    <w:p w14:paraId="7D27A253" w14:textId="77777777" w:rsidR="003857C7" w:rsidRDefault="003857C7" w:rsidP="003857C7">
      <w:pPr>
        <w:jc w:val="both"/>
        <w:rPr>
          <w:rFonts w:ascii="Times New Roman" w:hAnsi="Times New Roman" w:cs="Times New Roman"/>
          <w:sz w:val="24"/>
          <w:szCs w:val="24"/>
        </w:rPr>
      </w:pPr>
      <w:r w:rsidRPr="003857C7">
        <w:rPr>
          <w:rFonts w:ascii="Times New Roman" w:hAnsi="Times New Roman" w:cs="Times New Roman"/>
          <w:sz w:val="24"/>
          <w:szCs w:val="24"/>
        </w:rPr>
        <w:t>This video examines the critical legal framework that regulates protests and assemblies in the UK. You'll learn how the law balances the fundamental right to peaceful protest with the state's duty to maintain public safety and order. The video covers key statutes, recent legislative changes, and the practical application of police powers, all within the context of human rights protections.</w:t>
      </w:r>
    </w:p>
    <w:p w14:paraId="3C3CFF84" w14:textId="4AC831B4" w:rsidR="003857C7" w:rsidRPr="003857C7" w:rsidRDefault="003857C7" w:rsidP="003857C7">
      <w:pPr>
        <w:rPr>
          <w:rFonts w:ascii="Times New Roman" w:hAnsi="Times New Roman" w:cs="Times New Roman"/>
          <w:sz w:val="24"/>
          <w:szCs w:val="24"/>
        </w:rPr>
      </w:pPr>
      <w:r w:rsidRPr="003857C7">
        <w:rPr>
          <w:rFonts w:ascii="Times New Roman" w:hAnsi="Times New Roman" w:cs="Times New Roman"/>
          <w:sz w:val="24"/>
          <w:szCs w:val="24"/>
        </w:rPr>
        <w:t>Key areas covered</w:t>
      </w:r>
    </w:p>
    <w:p w14:paraId="61FC1DF6" w14:textId="33C048BC" w:rsidR="003857C7" w:rsidRPr="003857C7" w:rsidRDefault="003857C7" w:rsidP="003857C7">
      <w:pPr>
        <w:pStyle w:val="ListParagraph"/>
        <w:numPr>
          <w:ilvl w:val="0"/>
          <w:numId w:val="17"/>
        </w:numPr>
        <w:rPr>
          <w:rFonts w:ascii="Times New Roman" w:hAnsi="Times New Roman" w:cs="Times New Roman"/>
          <w:sz w:val="24"/>
          <w:szCs w:val="24"/>
        </w:rPr>
      </w:pPr>
      <w:r w:rsidRPr="003857C7">
        <w:rPr>
          <w:rFonts w:ascii="Times New Roman" w:hAnsi="Times New Roman" w:cs="Times New Roman"/>
          <w:sz w:val="24"/>
          <w:szCs w:val="24"/>
        </w:rPr>
        <w:t>Regulation of processions and assemblies</w:t>
      </w:r>
    </w:p>
    <w:p w14:paraId="20164FDE" w14:textId="77777777" w:rsidR="003857C7" w:rsidRPr="003857C7" w:rsidRDefault="003857C7" w:rsidP="003857C7">
      <w:pPr>
        <w:pStyle w:val="ListParagraph"/>
        <w:numPr>
          <w:ilvl w:val="0"/>
          <w:numId w:val="17"/>
        </w:numPr>
        <w:rPr>
          <w:rFonts w:ascii="Times New Roman" w:hAnsi="Times New Roman" w:cs="Times New Roman"/>
          <w:sz w:val="24"/>
          <w:szCs w:val="24"/>
        </w:rPr>
      </w:pPr>
      <w:r w:rsidRPr="003857C7">
        <w:rPr>
          <w:rFonts w:ascii="Times New Roman" w:hAnsi="Times New Roman" w:cs="Times New Roman"/>
          <w:sz w:val="24"/>
          <w:szCs w:val="24"/>
        </w:rPr>
        <w:t>Police powers to impose conditions</w:t>
      </w:r>
    </w:p>
    <w:p w14:paraId="71C25F03" w14:textId="70BA3CED" w:rsidR="003857C7" w:rsidRPr="003857C7" w:rsidRDefault="003857C7" w:rsidP="003857C7">
      <w:pPr>
        <w:pStyle w:val="ListParagraph"/>
        <w:numPr>
          <w:ilvl w:val="0"/>
          <w:numId w:val="17"/>
        </w:numPr>
        <w:rPr>
          <w:rFonts w:ascii="Times New Roman" w:hAnsi="Times New Roman" w:cs="Times New Roman"/>
          <w:sz w:val="24"/>
          <w:szCs w:val="24"/>
        </w:rPr>
      </w:pPr>
      <w:r w:rsidRPr="003857C7">
        <w:rPr>
          <w:rFonts w:ascii="Times New Roman" w:hAnsi="Times New Roman" w:cs="Times New Roman"/>
          <w:sz w:val="24"/>
          <w:szCs w:val="24"/>
        </w:rPr>
        <w:t>Human rights and proportionality</w:t>
      </w:r>
    </w:p>
    <w:p w14:paraId="48C3E12A" w14:textId="77777777" w:rsidR="003857C7" w:rsidRPr="003857C7" w:rsidRDefault="003857C7" w:rsidP="003857C7">
      <w:pPr>
        <w:pStyle w:val="ListParagraph"/>
        <w:numPr>
          <w:ilvl w:val="0"/>
          <w:numId w:val="17"/>
        </w:numPr>
        <w:rPr>
          <w:rFonts w:ascii="Times New Roman" w:hAnsi="Times New Roman" w:cs="Times New Roman"/>
          <w:sz w:val="24"/>
          <w:szCs w:val="24"/>
        </w:rPr>
      </w:pPr>
      <w:r w:rsidRPr="003857C7">
        <w:rPr>
          <w:rFonts w:ascii="Times New Roman" w:hAnsi="Times New Roman" w:cs="Times New Roman"/>
          <w:sz w:val="24"/>
          <w:szCs w:val="24"/>
        </w:rPr>
        <w:t>Recent legislative changes</w:t>
      </w:r>
    </w:p>
    <w:p w14:paraId="1DA1D177" w14:textId="77777777" w:rsidR="003857C7" w:rsidRPr="003857C7" w:rsidRDefault="003857C7" w:rsidP="003857C7">
      <w:pPr>
        <w:rPr>
          <w:rFonts w:ascii="Times New Roman" w:hAnsi="Times New Roman" w:cs="Times New Roman"/>
          <w:sz w:val="24"/>
          <w:szCs w:val="24"/>
        </w:rPr>
      </w:pPr>
    </w:p>
    <w:p w14:paraId="63ED8776" w14:textId="77777777" w:rsidR="003857C7" w:rsidRPr="003857C7" w:rsidRDefault="003857C7" w:rsidP="003857C7">
      <w:pPr>
        <w:rPr>
          <w:rFonts w:ascii="Times New Roman" w:hAnsi="Times New Roman" w:cs="Times New Roman"/>
          <w:b/>
          <w:bCs/>
          <w:sz w:val="24"/>
          <w:szCs w:val="24"/>
        </w:rPr>
      </w:pPr>
      <w:r w:rsidRPr="003857C7">
        <w:rPr>
          <w:rFonts w:ascii="Times New Roman" w:hAnsi="Times New Roman" w:cs="Times New Roman"/>
          <w:b/>
          <w:bCs/>
          <w:sz w:val="24"/>
          <w:szCs w:val="24"/>
        </w:rPr>
        <w:t>Video 6 – Judicial Review: Nature, Process &amp; Access</w:t>
      </w:r>
    </w:p>
    <w:p w14:paraId="4F08794B" w14:textId="77777777" w:rsidR="00FA7FF0" w:rsidRDefault="00FA7FF0" w:rsidP="00FA7FF0">
      <w:pPr>
        <w:jc w:val="both"/>
        <w:rPr>
          <w:rFonts w:ascii="Times New Roman" w:hAnsi="Times New Roman" w:cs="Times New Roman"/>
          <w:sz w:val="24"/>
          <w:szCs w:val="24"/>
        </w:rPr>
      </w:pPr>
      <w:r w:rsidRPr="00FA7FF0">
        <w:rPr>
          <w:rFonts w:ascii="Times New Roman" w:hAnsi="Times New Roman" w:cs="Times New Roman"/>
          <w:sz w:val="24"/>
          <w:szCs w:val="24"/>
        </w:rPr>
        <w:t>This video serves as an essential introduction to judicial review, the primary legal process for challenging the lawfulness of decisions made by public bodies. You will gain a clear understanding of the procedural roadmap, including the permission stage and substantive hearing, and learn about the key gateway requirements such as standing, time limits, and the need to exhaust alternative remedies.</w:t>
      </w:r>
    </w:p>
    <w:p w14:paraId="5B9B3031" w14:textId="1BF2DCAC" w:rsidR="003857C7" w:rsidRPr="003857C7" w:rsidRDefault="003857C7" w:rsidP="003857C7">
      <w:pPr>
        <w:rPr>
          <w:rFonts w:ascii="Times New Roman" w:hAnsi="Times New Roman" w:cs="Times New Roman"/>
          <w:sz w:val="24"/>
          <w:szCs w:val="24"/>
        </w:rPr>
      </w:pPr>
      <w:r w:rsidRPr="003857C7">
        <w:rPr>
          <w:rFonts w:ascii="Times New Roman" w:hAnsi="Times New Roman" w:cs="Times New Roman"/>
          <w:sz w:val="24"/>
          <w:szCs w:val="24"/>
        </w:rPr>
        <w:t>Key areas covered</w:t>
      </w:r>
    </w:p>
    <w:p w14:paraId="3F54CA66" w14:textId="17C51763" w:rsidR="003857C7" w:rsidRPr="003857C7" w:rsidRDefault="003857C7" w:rsidP="003857C7">
      <w:pPr>
        <w:pStyle w:val="ListParagraph"/>
        <w:numPr>
          <w:ilvl w:val="0"/>
          <w:numId w:val="16"/>
        </w:numPr>
        <w:rPr>
          <w:rFonts w:ascii="Times New Roman" w:hAnsi="Times New Roman" w:cs="Times New Roman"/>
          <w:sz w:val="24"/>
          <w:szCs w:val="24"/>
        </w:rPr>
      </w:pPr>
      <w:r w:rsidRPr="003857C7">
        <w:rPr>
          <w:rFonts w:ascii="Times New Roman" w:hAnsi="Times New Roman" w:cs="Times New Roman"/>
          <w:sz w:val="24"/>
          <w:szCs w:val="24"/>
        </w:rPr>
        <w:t>Two-stage judicial review process</w:t>
      </w:r>
    </w:p>
    <w:p w14:paraId="28C3A6E7" w14:textId="2964B6C9" w:rsidR="003857C7" w:rsidRPr="003857C7" w:rsidRDefault="003857C7" w:rsidP="003857C7">
      <w:pPr>
        <w:pStyle w:val="ListParagraph"/>
        <w:numPr>
          <w:ilvl w:val="0"/>
          <w:numId w:val="16"/>
        </w:numPr>
        <w:rPr>
          <w:rFonts w:ascii="Times New Roman" w:hAnsi="Times New Roman" w:cs="Times New Roman"/>
          <w:sz w:val="24"/>
          <w:szCs w:val="24"/>
        </w:rPr>
      </w:pPr>
      <w:r w:rsidRPr="003857C7">
        <w:rPr>
          <w:rFonts w:ascii="Times New Roman" w:hAnsi="Times New Roman" w:cs="Times New Roman"/>
          <w:sz w:val="24"/>
          <w:szCs w:val="24"/>
        </w:rPr>
        <w:t>Standing, time limits, and alternative remedies</w:t>
      </w:r>
    </w:p>
    <w:p w14:paraId="5043E2EE" w14:textId="298689E4" w:rsidR="003857C7" w:rsidRPr="003857C7" w:rsidRDefault="003857C7" w:rsidP="003857C7">
      <w:pPr>
        <w:pStyle w:val="ListParagraph"/>
        <w:numPr>
          <w:ilvl w:val="0"/>
          <w:numId w:val="16"/>
        </w:numPr>
        <w:rPr>
          <w:rFonts w:ascii="Times New Roman" w:hAnsi="Times New Roman" w:cs="Times New Roman"/>
          <w:sz w:val="24"/>
          <w:szCs w:val="24"/>
        </w:rPr>
      </w:pPr>
      <w:r w:rsidRPr="003857C7">
        <w:rPr>
          <w:rFonts w:ascii="Times New Roman" w:hAnsi="Times New Roman" w:cs="Times New Roman"/>
          <w:sz w:val="24"/>
          <w:szCs w:val="24"/>
        </w:rPr>
        <w:t>What can be challenged</w:t>
      </w:r>
    </w:p>
    <w:p w14:paraId="57659EE6" w14:textId="77777777" w:rsidR="003857C7" w:rsidRPr="003857C7" w:rsidRDefault="003857C7" w:rsidP="003857C7">
      <w:pPr>
        <w:pStyle w:val="ListParagraph"/>
        <w:numPr>
          <w:ilvl w:val="0"/>
          <w:numId w:val="16"/>
        </w:numPr>
        <w:rPr>
          <w:rFonts w:ascii="Times New Roman" w:hAnsi="Times New Roman" w:cs="Times New Roman"/>
          <w:sz w:val="24"/>
          <w:szCs w:val="24"/>
        </w:rPr>
      </w:pPr>
      <w:r w:rsidRPr="003857C7">
        <w:rPr>
          <w:rFonts w:ascii="Times New Roman" w:hAnsi="Times New Roman" w:cs="Times New Roman"/>
          <w:sz w:val="24"/>
          <w:szCs w:val="24"/>
        </w:rPr>
        <w:t>Limits and judicial deference</w:t>
      </w:r>
    </w:p>
    <w:p w14:paraId="708DC09B" w14:textId="77777777" w:rsidR="003857C7" w:rsidRPr="003857C7" w:rsidRDefault="003857C7" w:rsidP="003857C7">
      <w:pPr>
        <w:rPr>
          <w:rFonts w:ascii="Times New Roman" w:hAnsi="Times New Roman" w:cs="Times New Roman"/>
          <w:sz w:val="24"/>
          <w:szCs w:val="24"/>
        </w:rPr>
      </w:pPr>
    </w:p>
    <w:p w14:paraId="0922FF76" w14:textId="77777777" w:rsidR="003857C7" w:rsidRPr="003857C7" w:rsidRDefault="003857C7" w:rsidP="003857C7">
      <w:pPr>
        <w:rPr>
          <w:rFonts w:ascii="Times New Roman" w:hAnsi="Times New Roman" w:cs="Times New Roman"/>
          <w:b/>
          <w:bCs/>
          <w:sz w:val="24"/>
          <w:szCs w:val="24"/>
        </w:rPr>
      </w:pPr>
      <w:r w:rsidRPr="003857C7">
        <w:rPr>
          <w:rFonts w:ascii="Times New Roman" w:hAnsi="Times New Roman" w:cs="Times New Roman"/>
          <w:b/>
          <w:bCs/>
          <w:sz w:val="24"/>
          <w:szCs w:val="24"/>
        </w:rPr>
        <w:lastRenderedPageBreak/>
        <w:t>Video 7 – Judicial Review: Grounds &amp; Remedies</w:t>
      </w:r>
    </w:p>
    <w:p w14:paraId="75A5F1E2" w14:textId="77777777" w:rsidR="003857C7" w:rsidRDefault="003857C7" w:rsidP="003857C7">
      <w:pPr>
        <w:jc w:val="both"/>
        <w:rPr>
          <w:rFonts w:ascii="Times New Roman" w:hAnsi="Times New Roman" w:cs="Times New Roman"/>
          <w:sz w:val="24"/>
          <w:szCs w:val="24"/>
        </w:rPr>
      </w:pPr>
      <w:r w:rsidRPr="003857C7">
        <w:rPr>
          <w:rFonts w:ascii="Times New Roman" w:hAnsi="Times New Roman" w:cs="Times New Roman"/>
          <w:sz w:val="24"/>
          <w:szCs w:val="24"/>
        </w:rPr>
        <w:t>Building on the previous video, this instalment delves into the substantive grounds upon which a public decision can be found unlawful. You will explore the classic grounds of illegality, irrationality, and procedural impropriety, alongside the modern proportionality test, and learn about the range of remedies available from the courts to address unlawful administrative action.</w:t>
      </w:r>
    </w:p>
    <w:p w14:paraId="3D7E8F6F" w14:textId="50EED674" w:rsidR="003857C7" w:rsidRPr="003857C7" w:rsidRDefault="003857C7" w:rsidP="003857C7">
      <w:pPr>
        <w:rPr>
          <w:rFonts w:ascii="Times New Roman" w:hAnsi="Times New Roman" w:cs="Times New Roman"/>
          <w:sz w:val="24"/>
          <w:szCs w:val="24"/>
        </w:rPr>
      </w:pPr>
      <w:r w:rsidRPr="003857C7">
        <w:rPr>
          <w:rFonts w:ascii="Times New Roman" w:hAnsi="Times New Roman" w:cs="Times New Roman"/>
          <w:sz w:val="24"/>
          <w:szCs w:val="24"/>
        </w:rPr>
        <w:t>Key areas covered</w:t>
      </w:r>
    </w:p>
    <w:p w14:paraId="3BBE2B7A" w14:textId="6E66FECE" w:rsidR="003857C7" w:rsidRPr="003857C7" w:rsidRDefault="003857C7" w:rsidP="003857C7">
      <w:pPr>
        <w:pStyle w:val="ListParagraph"/>
        <w:numPr>
          <w:ilvl w:val="0"/>
          <w:numId w:val="15"/>
        </w:numPr>
        <w:rPr>
          <w:rFonts w:ascii="Times New Roman" w:hAnsi="Times New Roman" w:cs="Times New Roman"/>
          <w:sz w:val="24"/>
          <w:szCs w:val="24"/>
        </w:rPr>
      </w:pPr>
      <w:r w:rsidRPr="003857C7">
        <w:rPr>
          <w:rFonts w:ascii="Times New Roman" w:hAnsi="Times New Roman" w:cs="Times New Roman"/>
          <w:sz w:val="24"/>
          <w:szCs w:val="24"/>
        </w:rPr>
        <w:t>Illegality and ultra vires</w:t>
      </w:r>
    </w:p>
    <w:p w14:paraId="76BC7C3A" w14:textId="20802061" w:rsidR="003857C7" w:rsidRPr="003857C7" w:rsidRDefault="003857C7" w:rsidP="003857C7">
      <w:pPr>
        <w:pStyle w:val="ListParagraph"/>
        <w:numPr>
          <w:ilvl w:val="0"/>
          <w:numId w:val="15"/>
        </w:numPr>
        <w:rPr>
          <w:rFonts w:ascii="Times New Roman" w:hAnsi="Times New Roman" w:cs="Times New Roman"/>
          <w:sz w:val="24"/>
          <w:szCs w:val="24"/>
        </w:rPr>
      </w:pPr>
      <w:r w:rsidRPr="003857C7">
        <w:rPr>
          <w:rFonts w:ascii="Times New Roman" w:hAnsi="Times New Roman" w:cs="Times New Roman"/>
          <w:sz w:val="24"/>
          <w:szCs w:val="24"/>
        </w:rPr>
        <w:t>Irrationality vs proportionality</w:t>
      </w:r>
    </w:p>
    <w:p w14:paraId="10D90BF8" w14:textId="1D06949E" w:rsidR="003857C7" w:rsidRPr="003857C7" w:rsidRDefault="003857C7" w:rsidP="003857C7">
      <w:pPr>
        <w:pStyle w:val="ListParagraph"/>
        <w:numPr>
          <w:ilvl w:val="0"/>
          <w:numId w:val="15"/>
        </w:numPr>
        <w:rPr>
          <w:rFonts w:ascii="Times New Roman" w:hAnsi="Times New Roman" w:cs="Times New Roman"/>
          <w:sz w:val="24"/>
          <w:szCs w:val="24"/>
        </w:rPr>
      </w:pPr>
      <w:r w:rsidRPr="003857C7">
        <w:rPr>
          <w:rFonts w:ascii="Times New Roman" w:hAnsi="Times New Roman" w:cs="Times New Roman"/>
          <w:sz w:val="24"/>
          <w:szCs w:val="24"/>
        </w:rPr>
        <w:t>Procedural fairness</w:t>
      </w:r>
    </w:p>
    <w:p w14:paraId="71ACE230" w14:textId="77777777" w:rsidR="003857C7" w:rsidRPr="003857C7" w:rsidRDefault="003857C7" w:rsidP="003857C7">
      <w:pPr>
        <w:pStyle w:val="ListParagraph"/>
        <w:numPr>
          <w:ilvl w:val="0"/>
          <w:numId w:val="15"/>
        </w:numPr>
        <w:rPr>
          <w:rFonts w:ascii="Times New Roman" w:hAnsi="Times New Roman" w:cs="Times New Roman"/>
          <w:sz w:val="24"/>
          <w:szCs w:val="24"/>
        </w:rPr>
      </w:pPr>
      <w:r w:rsidRPr="003857C7">
        <w:rPr>
          <w:rFonts w:ascii="Times New Roman" w:hAnsi="Times New Roman" w:cs="Times New Roman"/>
          <w:sz w:val="24"/>
          <w:szCs w:val="24"/>
        </w:rPr>
        <w:t>Remedies and prerogative orders</w:t>
      </w:r>
    </w:p>
    <w:p w14:paraId="106E3504" w14:textId="77777777" w:rsidR="003857C7" w:rsidRPr="003857C7" w:rsidRDefault="003857C7" w:rsidP="003857C7">
      <w:pPr>
        <w:rPr>
          <w:rFonts w:ascii="Times New Roman" w:hAnsi="Times New Roman" w:cs="Times New Roman"/>
          <w:sz w:val="24"/>
          <w:szCs w:val="24"/>
        </w:rPr>
      </w:pPr>
    </w:p>
    <w:p w14:paraId="6EF48B61" w14:textId="77777777" w:rsidR="003857C7" w:rsidRPr="003857C7" w:rsidRDefault="003857C7" w:rsidP="003857C7">
      <w:pPr>
        <w:rPr>
          <w:rFonts w:ascii="Times New Roman" w:hAnsi="Times New Roman" w:cs="Times New Roman"/>
          <w:b/>
          <w:bCs/>
          <w:sz w:val="24"/>
          <w:szCs w:val="24"/>
        </w:rPr>
      </w:pPr>
      <w:r w:rsidRPr="003857C7">
        <w:rPr>
          <w:rFonts w:ascii="Times New Roman" w:hAnsi="Times New Roman" w:cs="Times New Roman"/>
          <w:b/>
          <w:bCs/>
          <w:sz w:val="24"/>
          <w:szCs w:val="24"/>
        </w:rPr>
        <w:t>Video 8 – Human Rights Act 1998</w:t>
      </w:r>
    </w:p>
    <w:p w14:paraId="005B9593" w14:textId="77777777" w:rsidR="003857C7" w:rsidRDefault="003857C7" w:rsidP="003857C7">
      <w:pPr>
        <w:jc w:val="both"/>
        <w:rPr>
          <w:rFonts w:ascii="Times New Roman" w:hAnsi="Times New Roman" w:cs="Times New Roman"/>
          <w:sz w:val="24"/>
          <w:szCs w:val="24"/>
        </w:rPr>
      </w:pPr>
      <w:r w:rsidRPr="003857C7">
        <w:rPr>
          <w:rFonts w:ascii="Times New Roman" w:hAnsi="Times New Roman" w:cs="Times New Roman"/>
          <w:sz w:val="24"/>
          <w:szCs w:val="24"/>
        </w:rPr>
        <w:t>This video explains the transformative effect of the Human Rights Act 1998, which incorporated the rights enshrined in the European Convention on Human Rights directly into UK domestic law. You will explore the different categories of rights, understand the interpretative duties placed on courts and public authorities, and examine the unique constitutional mechanism of the declaration of incompatibility.</w:t>
      </w:r>
    </w:p>
    <w:p w14:paraId="42DD4A5B" w14:textId="62A573E2" w:rsidR="003857C7" w:rsidRPr="003857C7" w:rsidRDefault="003857C7" w:rsidP="003857C7">
      <w:pPr>
        <w:jc w:val="both"/>
        <w:rPr>
          <w:rFonts w:ascii="Times New Roman" w:hAnsi="Times New Roman" w:cs="Times New Roman"/>
          <w:sz w:val="24"/>
          <w:szCs w:val="24"/>
        </w:rPr>
      </w:pPr>
      <w:r w:rsidRPr="003857C7">
        <w:rPr>
          <w:rFonts w:ascii="Times New Roman" w:hAnsi="Times New Roman" w:cs="Times New Roman"/>
          <w:sz w:val="24"/>
          <w:szCs w:val="24"/>
        </w:rPr>
        <w:t>Key areas covered</w:t>
      </w:r>
    </w:p>
    <w:p w14:paraId="762D3F85" w14:textId="31CBA1F5" w:rsidR="003857C7" w:rsidRPr="003857C7" w:rsidRDefault="003857C7" w:rsidP="003857C7">
      <w:pPr>
        <w:pStyle w:val="ListParagraph"/>
        <w:numPr>
          <w:ilvl w:val="0"/>
          <w:numId w:val="14"/>
        </w:numPr>
        <w:rPr>
          <w:rFonts w:ascii="Times New Roman" w:hAnsi="Times New Roman" w:cs="Times New Roman"/>
          <w:sz w:val="24"/>
          <w:szCs w:val="24"/>
        </w:rPr>
      </w:pPr>
      <w:r w:rsidRPr="003857C7">
        <w:rPr>
          <w:rFonts w:ascii="Times New Roman" w:hAnsi="Times New Roman" w:cs="Times New Roman"/>
          <w:sz w:val="24"/>
          <w:szCs w:val="24"/>
        </w:rPr>
        <w:t>Categories of human rights</w:t>
      </w:r>
    </w:p>
    <w:p w14:paraId="08B74C9F" w14:textId="69AD20AE" w:rsidR="003857C7" w:rsidRPr="003857C7" w:rsidRDefault="003857C7" w:rsidP="003857C7">
      <w:pPr>
        <w:pStyle w:val="ListParagraph"/>
        <w:numPr>
          <w:ilvl w:val="0"/>
          <w:numId w:val="14"/>
        </w:numPr>
        <w:rPr>
          <w:rFonts w:ascii="Times New Roman" w:hAnsi="Times New Roman" w:cs="Times New Roman"/>
          <w:sz w:val="24"/>
          <w:szCs w:val="24"/>
        </w:rPr>
      </w:pPr>
      <w:r w:rsidRPr="003857C7">
        <w:rPr>
          <w:rFonts w:ascii="Times New Roman" w:hAnsi="Times New Roman" w:cs="Times New Roman"/>
          <w:sz w:val="24"/>
          <w:szCs w:val="24"/>
        </w:rPr>
        <w:t>Sections 3, 4, and 6 of the HRA</w:t>
      </w:r>
    </w:p>
    <w:p w14:paraId="449C339D" w14:textId="601390F6" w:rsidR="003857C7" w:rsidRPr="003857C7" w:rsidRDefault="003857C7" w:rsidP="003857C7">
      <w:pPr>
        <w:pStyle w:val="ListParagraph"/>
        <w:numPr>
          <w:ilvl w:val="0"/>
          <w:numId w:val="14"/>
        </w:numPr>
        <w:rPr>
          <w:rFonts w:ascii="Times New Roman" w:hAnsi="Times New Roman" w:cs="Times New Roman"/>
          <w:sz w:val="24"/>
          <w:szCs w:val="24"/>
        </w:rPr>
      </w:pPr>
      <w:r w:rsidRPr="003857C7">
        <w:rPr>
          <w:rFonts w:ascii="Times New Roman" w:hAnsi="Times New Roman" w:cs="Times New Roman"/>
          <w:sz w:val="24"/>
          <w:szCs w:val="24"/>
        </w:rPr>
        <w:t>Declaration of incompatibility</w:t>
      </w:r>
    </w:p>
    <w:p w14:paraId="3774E986" w14:textId="77777777" w:rsidR="003857C7" w:rsidRPr="003857C7" w:rsidRDefault="003857C7" w:rsidP="003857C7">
      <w:pPr>
        <w:pStyle w:val="ListParagraph"/>
        <w:numPr>
          <w:ilvl w:val="0"/>
          <w:numId w:val="14"/>
        </w:numPr>
        <w:rPr>
          <w:rFonts w:ascii="Times New Roman" w:hAnsi="Times New Roman" w:cs="Times New Roman"/>
          <w:sz w:val="24"/>
          <w:szCs w:val="24"/>
        </w:rPr>
      </w:pPr>
      <w:r w:rsidRPr="003857C7">
        <w:rPr>
          <w:rFonts w:ascii="Times New Roman" w:hAnsi="Times New Roman" w:cs="Times New Roman"/>
          <w:sz w:val="24"/>
          <w:szCs w:val="24"/>
        </w:rPr>
        <w:t>Bringing a claim as a victim</w:t>
      </w:r>
    </w:p>
    <w:p w14:paraId="1B2F8B34" w14:textId="77777777" w:rsidR="003857C7" w:rsidRPr="003857C7" w:rsidRDefault="003857C7" w:rsidP="003857C7">
      <w:pPr>
        <w:rPr>
          <w:rFonts w:ascii="Times New Roman" w:hAnsi="Times New Roman" w:cs="Times New Roman"/>
          <w:sz w:val="24"/>
          <w:szCs w:val="24"/>
        </w:rPr>
      </w:pPr>
    </w:p>
    <w:p w14:paraId="09FC1559" w14:textId="77777777" w:rsidR="003857C7" w:rsidRPr="003857C7" w:rsidRDefault="003857C7" w:rsidP="003857C7">
      <w:pPr>
        <w:rPr>
          <w:rFonts w:ascii="Times New Roman" w:hAnsi="Times New Roman" w:cs="Times New Roman"/>
          <w:b/>
          <w:bCs/>
          <w:sz w:val="24"/>
          <w:szCs w:val="24"/>
        </w:rPr>
      </w:pPr>
      <w:r w:rsidRPr="003857C7">
        <w:rPr>
          <w:rFonts w:ascii="Times New Roman" w:hAnsi="Times New Roman" w:cs="Times New Roman"/>
          <w:b/>
          <w:bCs/>
          <w:sz w:val="24"/>
          <w:szCs w:val="24"/>
        </w:rPr>
        <w:t>Video 9 – EU Law &amp; the UK Constitution</w:t>
      </w:r>
    </w:p>
    <w:p w14:paraId="6B0CA490" w14:textId="77777777" w:rsidR="003857C7" w:rsidRDefault="003857C7" w:rsidP="003857C7">
      <w:pPr>
        <w:jc w:val="both"/>
        <w:rPr>
          <w:rFonts w:ascii="Times New Roman" w:hAnsi="Times New Roman" w:cs="Times New Roman"/>
          <w:sz w:val="24"/>
          <w:szCs w:val="24"/>
        </w:rPr>
      </w:pPr>
      <w:r w:rsidRPr="003857C7">
        <w:rPr>
          <w:rFonts w:ascii="Times New Roman" w:hAnsi="Times New Roman" w:cs="Times New Roman"/>
          <w:sz w:val="24"/>
          <w:szCs w:val="24"/>
        </w:rPr>
        <w:t>This video charts the complex constitutional relationship between UK law and European Union law, from accession to departure. You will understand the profound constitutional questions raised by the supremacy of EU law, the legal architecture established for withdrawal, the concept of retained EU law, and the evolving new relationship between the UK and EU legal orders post-Brexit.</w:t>
      </w:r>
    </w:p>
    <w:p w14:paraId="41E8DF52" w14:textId="7F012C47" w:rsidR="003857C7" w:rsidRPr="003857C7" w:rsidRDefault="003857C7" w:rsidP="003857C7">
      <w:pPr>
        <w:rPr>
          <w:rFonts w:ascii="Times New Roman" w:hAnsi="Times New Roman" w:cs="Times New Roman"/>
          <w:sz w:val="24"/>
          <w:szCs w:val="24"/>
        </w:rPr>
      </w:pPr>
      <w:r w:rsidRPr="003857C7">
        <w:rPr>
          <w:rFonts w:ascii="Times New Roman" w:hAnsi="Times New Roman" w:cs="Times New Roman"/>
          <w:sz w:val="24"/>
          <w:szCs w:val="24"/>
        </w:rPr>
        <w:t>Key areas covered</w:t>
      </w:r>
    </w:p>
    <w:p w14:paraId="3D6E2F17" w14:textId="071F2939" w:rsidR="003857C7" w:rsidRPr="003857C7" w:rsidRDefault="003857C7" w:rsidP="003857C7">
      <w:pPr>
        <w:pStyle w:val="ListParagraph"/>
        <w:numPr>
          <w:ilvl w:val="0"/>
          <w:numId w:val="13"/>
        </w:numPr>
        <w:rPr>
          <w:rFonts w:ascii="Times New Roman" w:hAnsi="Times New Roman" w:cs="Times New Roman"/>
          <w:sz w:val="24"/>
          <w:szCs w:val="24"/>
        </w:rPr>
      </w:pPr>
      <w:r w:rsidRPr="003857C7">
        <w:rPr>
          <w:rFonts w:ascii="Times New Roman" w:hAnsi="Times New Roman" w:cs="Times New Roman"/>
          <w:sz w:val="24"/>
          <w:szCs w:val="24"/>
        </w:rPr>
        <w:t>Supremacy of EU law and Factortame</w:t>
      </w:r>
    </w:p>
    <w:p w14:paraId="7F641F82" w14:textId="4916B4B4" w:rsidR="003857C7" w:rsidRPr="003857C7" w:rsidRDefault="003857C7" w:rsidP="003857C7">
      <w:pPr>
        <w:pStyle w:val="ListParagraph"/>
        <w:numPr>
          <w:ilvl w:val="0"/>
          <w:numId w:val="13"/>
        </w:numPr>
        <w:rPr>
          <w:rFonts w:ascii="Times New Roman" w:hAnsi="Times New Roman" w:cs="Times New Roman"/>
          <w:sz w:val="24"/>
          <w:szCs w:val="24"/>
        </w:rPr>
      </w:pPr>
      <w:r w:rsidRPr="003857C7">
        <w:rPr>
          <w:rFonts w:ascii="Times New Roman" w:hAnsi="Times New Roman" w:cs="Times New Roman"/>
          <w:sz w:val="24"/>
          <w:szCs w:val="24"/>
        </w:rPr>
        <w:t>European Communities Act 1972</w:t>
      </w:r>
    </w:p>
    <w:p w14:paraId="56E273C8" w14:textId="3288E71B" w:rsidR="003857C7" w:rsidRPr="003857C7" w:rsidRDefault="003857C7" w:rsidP="003857C7">
      <w:pPr>
        <w:pStyle w:val="ListParagraph"/>
        <w:numPr>
          <w:ilvl w:val="0"/>
          <w:numId w:val="13"/>
        </w:numPr>
        <w:rPr>
          <w:rFonts w:ascii="Times New Roman" w:hAnsi="Times New Roman" w:cs="Times New Roman"/>
          <w:sz w:val="24"/>
          <w:szCs w:val="24"/>
        </w:rPr>
      </w:pPr>
      <w:r w:rsidRPr="003857C7">
        <w:rPr>
          <w:rFonts w:ascii="Times New Roman" w:hAnsi="Times New Roman" w:cs="Times New Roman"/>
          <w:sz w:val="24"/>
          <w:szCs w:val="24"/>
        </w:rPr>
        <w:t>EU (Withdrawal) Act 2018 and retained EU law</w:t>
      </w:r>
    </w:p>
    <w:p w14:paraId="308CBEBE" w14:textId="4880923A" w:rsidR="00E47715" w:rsidRPr="003857C7" w:rsidRDefault="003857C7" w:rsidP="003857C7">
      <w:pPr>
        <w:pStyle w:val="ListParagraph"/>
        <w:numPr>
          <w:ilvl w:val="0"/>
          <w:numId w:val="13"/>
        </w:numPr>
        <w:rPr>
          <w:rFonts w:ascii="Times New Roman" w:hAnsi="Times New Roman" w:cs="Times New Roman"/>
          <w:sz w:val="24"/>
          <w:szCs w:val="24"/>
        </w:rPr>
      </w:pPr>
      <w:r w:rsidRPr="003857C7">
        <w:rPr>
          <w:rFonts w:ascii="Times New Roman" w:hAnsi="Times New Roman" w:cs="Times New Roman"/>
          <w:sz w:val="24"/>
          <w:szCs w:val="24"/>
        </w:rPr>
        <w:t>Post-Brexit legal relationship</w:t>
      </w:r>
    </w:p>
    <w:sectPr w:rsidR="00E47715" w:rsidRPr="00385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9B3"/>
    <w:multiLevelType w:val="hybridMultilevel"/>
    <w:tmpl w:val="D93C8D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912449"/>
    <w:multiLevelType w:val="hybridMultilevel"/>
    <w:tmpl w:val="699E4A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40A05EA"/>
    <w:multiLevelType w:val="multilevel"/>
    <w:tmpl w:val="FFFA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666C2"/>
    <w:multiLevelType w:val="hybridMultilevel"/>
    <w:tmpl w:val="FB7EDD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EA1E98"/>
    <w:multiLevelType w:val="multilevel"/>
    <w:tmpl w:val="BE72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97139"/>
    <w:multiLevelType w:val="hybridMultilevel"/>
    <w:tmpl w:val="F208D0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18C7FAC"/>
    <w:multiLevelType w:val="hybridMultilevel"/>
    <w:tmpl w:val="858600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9495BE6"/>
    <w:multiLevelType w:val="hybridMultilevel"/>
    <w:tmpl w:val="85F6A1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ACA2667"/>
    <w:multiLevelType w:val="hybridMultilevel"/>
    <w:tmpl w:val="01520F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BA4465D"/>
    <w:multiLevelType w:val="hybridMultilevel"/>
    <w:tmpl w:val="43AA2A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1471035"/>
    <w:multiLevelType w:val="hybridMultilevel"/>
    <w:tmpl w:val="E048C0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3265CE4"/>
    <w:multiLevelType w:val="hybridMultilevel"/>
    <w:tmpl w:val="D5CEEC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DE87E04"/>
    <w:multiLevelType w:val="multilevel"/>
    <w:tmpl w:val="6092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21BA6"/>
    <w:multiLevelType w:val="hybridMultilevel"/>
    <w:tmpl w:val="BB6EDE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1BC5F18"/>
    <w:multiLevelType w:val="hybridMultilevel"/>
    <w:tmpl w:val="DE32CE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4834EE3"/>
    <w:multiLevelType w:val="hybridMultilevel"/>
    <w:tmpl w:val="58E47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7D2286D"/>
    <w:multiLevelType w:val="multilevel"/>
    <w:tmpl w:val="2D44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A82F7D"/>
    <w:multiLevelType w:val="hybridMultilevel"/>
    <w:tmpl w:val="1A8CC8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8C976A4"/>
    <w:multiLevelType w:val="hybridMultilevel"/>
    <w:tmpl w:val="6EC02E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D4753A7"/>
    <w:multiLevelType w:val="hybridMultilevel"/>
    <w:tmpl w:val="F3BC38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DF32058"/>
    <w:multiLevelType w:val="hybridMultilevel"/>
    <w:tmpl w:val="1AA23F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98145575">
    <w:abstractNumId w:val="2"/>
  </w:num>
  <w:num w:numId="2" w16cid:durableId="1048918390">
    <w:abstractNumId w:val="12"/>
  </w:num>
  <w:num w:numId="3" w16cid:durableId="1304846768">
    <w:abstractNumId w:val="4"/>
  </w:num>
  <w:num w:numId="4" w16cid:durableId="464396490">
    <w:abstractNumId w:val="16"/>
  </w:num>
  <w:num w:numId="5" w16cid:durableId="1046758652">
    <w:abstractNumId w:val="5"/>
  </w:num>
  <w:num w:numId="6" w16cid:durableId="465513202">
    <w:abstractNumId w:val="11"/>
  </w:num>
  <w:num w:numId="7" w16cid:durableId="277178167">
    <w:abstractNumId w:val="17"/>
  </w:num>
  <w:num w:numId="8" w16cid:durableId="302272328">
    <w:abstractNumId w:val="10"/>
  </w:num>
  <w:num w:numId="9" w16cid:durableId="1333143897">
    <w:abstractNumId w:val="19"/>
  </w:num>
  <w:num w:numId="10" w16cid:durableId="1316446554">
    <w:abstractNumId w:val="1"/>
  </w:num>
  <w:num w:numId="11" w16cid:durableId="437061616">
    <w:abstractNumId w:val="3"/>
  </w:num>
  <w:num w:numId="12" w16cid:durableId="1881478798">
    <w:abstractNumId w:val="18"/>
  </w:num>
  <w:num w:numId="13" w16cid:durableId="1562130833">
    <w:abstractNumId w:val="7"/>
  </w:num>
  <w:num w:numId="14" w16cid:durableId="1358657686">
    <w:abstractNumId w:val="14"/>
  </w:num>
  <w:num w:numId="15" w16cid:durableId="486897947">
    <w:abstractNumId w:val="13"/>
  </w:num>
  <w:num w:numId="16" w16cid:durableId="649556534">
    <w:abstractNumId w:val="15"/>
  </w:num>
  <w:num w:numId="17" w16cid:durableId="1432117969">
    <w:abstractNumId w:val="8"/>
  </w:num>
  <w:num w:numId="18" w16cid:durableId="1015155151">
    <w:abstractNumId w:val="20"/>
  </w:num>
  <w:num w:numId="19" w16cid:durableId="1783573537">
    <w:abstractNumId w:val="6"/>
  </w:num>
  <w:num w:numId="20" w16cid:durableId="276958925">
    <w:abstractNumId w:val="0"/>
  </w:num>
  <w:num w:numId="21" w16cid:durableId="1016158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30C"/>
    <w:rsid w:val="003857C7"/>
    <w:rsid w:val="00441C39"/>
    <w:rsid w:val="005446D6"/>
    <w:rsid w:val="007466B5"/>
    <w:rsid w:val="0087130C"/>
    <w:rsid w:val="00A72064"/>
    <w:rsid w:val="00E47715"/>
    <w:rsid w:val="00F36645"/>
    <w:rsid w:val="00FA7FF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8A5E"/>
  <w15:chartTrackingRefBased/>
  <w15:docId w15:val="{5C3ACC42-3793-4DFB-BE7A-067528946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3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3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3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3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3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3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3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3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3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3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30C"/>
    <w:rPr>
      <w:rFonts w:eastAsiaTheme="majorEastAsia" w:cstheme="majorBidi"/>
      <w:color w:val="272727" w:themeColor="text1" w:themeTint="D8"/>
    </w:rPr>
  </w:style>
  <w:style w:type="paragraph" w:styleId="Title">
    <w:name w:val="Title"/>
    <w:basedOn w:val="Normal"/>
    <w:next w:val="Normal"/>
    <w:link w:val="TitleChar"/>
    <w:uiPriority w:val="10"/>
    <w:qFormat/>
    <w:rsid w:val="00871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30C"/>
    <w:pPr>
      <w:spacing w:before="160"/>
      <w:jc w:val="center"/>
    </w:pPr>
    <w:rPr>
      <w:i/>
      <w:iCs/>
      <w:color w:val="404040" w:themeColor="text1" w:themeTint="BF"/>
    </w:rPr>
  </w:style>
  <w:style w:type="character" w:customStyle="1" w:styleId="QuoteChar">
    <w:name w:val="Quote Char"/>
    <w:basedOn w:val="DefaultParagraphFont"/>
    <w:link w:val="Quote"/>
    <w:uiPriority w:val="29"/>
    <w:rsid w:val="0087130C"/>
    <w:rPr>
      <w:i/>
      <w:iCs/>
      <w:color w:val="404040" w:themeColor="text1" w:themeTint="BF"/>
    </w:rPr>
  </w:style>
  <w:style w:type="paragraph" w:styleId="ListParagraph">
    <w:name w:val="List Paragraph"/>
    <w:basedOn w:val="Normal"/>
    <w:uiPriority w:val="34"/>
    <w:qFormat/>
    <w:rsid w:val="0087130C"/>
    <w:pPr>
      <w:ind w:left="720"/>
      <w:contextualSpacing/>
    </w:pPr>
  </w:style>
  <w:style w:type="character" w:styleId="IntenseEmphasis">
    <w:name w:val="Intense Emphasis"/>
    <w:basedOn w:val="DefaultParagraphFont"/>
    <w:uiPriority w:val="21"/>
    <w:qFormat/>
    <w:rsid w:val="0087130C"/>
    <w:rPr>
      <w:i/>
      <w:iCs/>
      <w:color w:val="2F5496" w:themeColor="accent1" w:themeShade="BF"/>
    </w:rPr>
  </w:style>
  <w:style w:type="paragraph" w:styleId="IntenseQuote">
    <w:name w:val="Intense Quote"/>
    <w:basedOn w:val="Normal"/>
    <w:next w:val="Normal"/>
    <w:link w:val="IntenseQuoteChar"/>
    <w:uiPriority w:val="30"/>
    <w:qFormat/>
    <w:rsid w:val="00871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30C"/>
    <w:rPr>
      <w:i/>
      <w:iCs/>
      <w:color w:val="2F5496" w:themeColor="accent1" w:themeShade="BF"/>
    </w:rPr>
  </w:style>
  <w:style w:type="character" w:styleId="IntenseReference">
    <w:name w:val="Intense Reference"/>
    <w:basedOn w:val="DefaultParagraphFont"/>
    <w:uiPriority w:val="32"/>
    <w:qFormat/>
    <w:rsid w:val="008713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Kehinde Ajewole</dc:creator>
  <cp:keywords/>
  <dc:description/>
  <cp:lastModifiedBy>Kehinde Ajewole</cp:lastModifiedBy>
  <cp:revision>3</cp:revision>
  <dcterms:created xsi:type="dcterms:W3CDTF">2025-12-30T12:17:00Z</dcterms:created>
  <dcterms:modified xsi:type="dcterms:W3CDTF">2025-12-30T14:27:00Z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1a83b161-5df7-4cee-814f-d1197444d15d</vt:lpwstr>
  </property>
</Properties>
</file>