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D453A" w14:textId="032F4D4E" w:rsidR="007466B5" w:rsidRDefault="00A15582" w:rsidP="00A15582">
      <w:pPr>
        <w:jc w:val="center"/>
        <w:rPr>
          <w:rFonts w:ascii="Times New Roman" w:hAnsi="Times New Roman" w:cs="Times New Roman"/>
          <w:b/>
          <w:bCs/>
          <w:sz w:val="28"/>
          <w:szCs w:val="28"/>
        </w:rPr>
      </w:pPr>
      <w:r w:rsidRPr="00A15582">
        <w:rPr>
          <w:rFonts w:ascii="Times New Roman" w:hAnsi="Times New Roman" w:cs="Times New Roman"/>
          <w:b/>
          <w:bCs/>
          <w:sz w:val="28"/>
          <w:szCs w:val="28"/>
        </w:rPr>
        <w:t>Contract Law</w:t>
      </w:r>
    </w:p>
    <w:p w14:paraId="48A166B1" w14:textId="77777777" w:rsidR="00A15582" w:rsidRPr="00A15582" w:rsidRDefault="00A15582" w:rsidP="00A15582">
      <w:pPr>
        <w:rPr>
          <w:rFonts w:ascii="Times New Roman" w:hAnsi="Times New Roman" w:cs="Times New Roman"/>
          <w:b/>
          <w:bCs/>
          <w:sz w:val="28"/>
          <w:szCs w:val="28"/>
        </w:rPr>
      </w:pPr>
    </w:p>
    <w:p w14:paraId="1F170A1C" w14:textId="77777777" w:rsidR="00F44DA4" w:rsidRPr="00F44DA4" w:rsidRDefault="00F44DA4" w:rsidP="00F44DA4">
      <w:pPr>
        <w:jc w:val="both"/>
        <w:rPr>
          <w:rFonts w:ascii="Times New Roman" w:hAnsi="Times New Roman" w:cs="Times New Roman"/>
          <w:b/>
          <w:bCs/>
          <w:sz w:val="24"/>
          <w:szCs w:val="24"/>
        </w:rPr>
      </w:pPr>
      <w:r w:rsidRPr="00F44DA4">
        <w:rPr>
          <w:rFonts w:ascii="Times New Roman" w:hAnsi="Times New Roman" w:cs="Times New Roman"/>
          <w:b/>
          <w:bCs/>
          <w:sz w:val="24"/>
          <w:szCs w:val="24"/>
        </w:rPr>
        <w:t>Video 1 – The Foundation of a Binding Agreement</w:t>
      </w:r>
    </w:p>
    <w:p w14:paraId="0000178E" w14:textId="77777777" w:rsidR="00CD1807" w:rsidRDefault="00CD1807" w:rsidP="00F44DA4">
      <w:pPr>
        <w:jc w:val="both"/>
        <w:rPr>
          <w:rFonts w:ascii="Times New Roman" w:hAnsi="Times New Roman" w:cs="Times New Roman"/>
          <w:sz w:val="24"/>
          <w:szCs w:val="24"/>
        </w:rPr>
      </w:pPr>
      <w:r w:rsidRPr="00CD1807">
        <w:rPr>
          <w:rFonts w:ascii="Times New Roman" w:hAnsi="Times New Roman" w:cs="Times New Roman"/>
          <w:sz w:val="24"/>
          <w:szCs w:val="24"/>
        </w:rPr>
        <w:t>This video introduces the five essential elements of a valid contract, establishing the cornerstone of contract law. You'll learn how courts use an objective test to distinguish legally enforceable agreements from informal social promises, and gain an understanding of how contract law interacts with and differs from the legal principles of tort and restitution.</w:t>
      </w:r>
      <w:r>
        <w:rPr>
          <w:rFonts w:ascii="Times New Roman" w:hAnsi="Times New Roman" w:cs="Times New Roman"/>
          <w:sz w:val="24"/>
          <w:szCs w:val="24"/>
        </w:rPr>
        <w:br/>
      </w:r>
    </w:p>
    <w:p w14:paraId="7F6A460E" w14:textId="3665F1F5" w:rsidR="00F44DA4" w:rsidRPr="00F44DA4" w:rsidRDefault="00F44DA4" w:rsidP="00F44DA4">
      <w:pPr>
        <w:jc w:val="both"/>
        <w:rPr>
          <w:rFonts w:ascii="Times New Roman" w:hAnsi="Times New Roman" w:cs="Times New Roman"/>
          <w:sz w:val="24"/>
          <w:szCs w:val="24"/>
        </w:rPr>
      </w:pPr>
      <w:r w:rsidRPr="00F44DA4">
        <w:rPr>
          <w:rFonts w:ascii="Times New Roman" w:hAnsi="Times New Roman" w:cs="Times New Roman"/>
          <w:sz w:val="24"/>
          <w:szCs w:val="24"/>
        </w:rPr>
        <w:t>Key areas covered</w:t>
      </w:r>
    </w:p>
    <w:p w14:paraId="693D7E9F" w14:textId="281834AC" w:rsidR="00F44DA4" w:rsidRPr="00F44DA4" w:rsidRDefault="00F44DA4" w:rsidP="00F44DA4">
      <w:pPr>
        <w:pStyle w:val="ListParagraph"/>
        <w:numPr>
          <w:ilvl w:val="0"/>
          <w:numId w:val="34"/>
        </w:numPr>
        <w:jc w:val="both"/>
        <w:rPr>
          <w:rFonts w:ascii="Times New Roman" w:hAnsi="Times New Roman" w:cs="Times New Roman"/>
          <w:sz w:val="24"/>
          <w:szCs w:val="24"/>
        </w:rPr>
      </w:pPr>
      <w:r w:rsidRPr="00F44DA4">
        <w:rPr>
          <w:rFonts w:ascii="Times New Roman" w:hAnsi="Times New Roman" w:cs="Times New Roman"/>
          <w:sz w:val="24"/>
          <w:szCs w:val="24"/>
        </w:rPr>
        <w:t>The five pillars of a contract</w:t>
      </w:r>
    </w:p>
    <w:p w14:paraId="774994E0" w14:textId="49DFC1BC" w:rsidR="00F44DA4" w:rsidRPr="00F44DA4" w:rsidRDefault="00F44DA4" w:rsidP="00F44DA4">
      <w:pPr>
        <w:pStyle w:val="ListParagraph"/>
        <w:numPr>
          <w:ilvl w:val="0"/>
          <w:numId w:val="34"/>
        </w:numPr>
        <w:jc w:val="both"/>
        <w:rPr>
          <w:rFonts w:ascii="Times New Roman" w:hAnsi="Times New Roman" w:cs="Times New Roman"/>
          <w:sz w:val="24"/>
          <w:szCs w:val="24"/>
        </w:rPr>
      </w:pPr>
      <w:r w:rsidRPr="00F44DA4">
        <w:rPr>
          <w:rFonts w:ascii="Times New Roman" w:hAnsi="Times New Roman" w:cs="Times New Roman"/>
          <w:sz w:val="24"/>
          <w:szCs w:val="24"/>
        </w:rPr>
        <w:t>Objective approach to agreement</w:t>
      </w:r>
    </w:p>
    <w:p w14:paraId="49D6B4F2" w14:textId="0E7F6F5B" w:rsidR="00F44DA4" w:rsidRPr="00F44DA4" w:rsidRDefault="00F44DA4" w:rsidP="00F44DA4">
      <w:pPr>
        <w:pStyle w:val="ListParagraph"/>
        <w:numPr>
          <w:ilvl w:val="0"/>
          <w:numId w:val="34"/>
        </w:numPr>
        <w:jc w:val="both"/>
        <w:rPr>
          <w:rFonts w:ascii="Times New Roman" w:hAnsi="Times New Roman" w:cs="Times New Roman"/>
          <w:sz w:val="24"/>
          <w:szCs w:val="24"/>
        </w:rPr>
      </w:pPr>
      <w:r w:rsidRPr="00F44DA4">
        <w:rPr>
          <w:rFonts w:ascii="Times New Roman" w:hAnsi="Times New Roman" w:cs="Times New Roman"/>
          <w:sz w:val="24"/>
          <w:szCs w:val="24"/>
        </w:rPr>
        <w:t>Contract vs. tort and restitutio</w:t>
      </w:r>
    </w:p>
    <w:p w14:paraId="4CE88739" w14:textId="77777777" w:rsidR="00F44DA4" w:rsidRPr="00F44DA4" w:rsidRDefault="00F44DA4" w:rsidP="00F44DA4">
      <w:pPr>
        <w:pStyle w:val="ListParagraph"/>
        <w:numPr>
          <w:ilvl w:val="0"/>
          <w:numId w:val="34"/>
        </w:numPr>
        <w:jc w:val="both"/>
        <w:rPr>
          <w:rFonts w:ascii="Times New Roman" w:hAnsi="Times New Roman" w:cs="Times New Roman"/>
          <w:sz w:val="24"/>
          <w:szCs w:val="24"/>
        </w:rPr>
      </w:pPr>
      <w:r w:rsidRPr="00F44DA4">
        <w:rPr>
          <w:rFonts w:ascii="Times New Roman" w:hAnsi="Times New Roman" w:cs="Times New Roman"/>
          <w:sz w:val="24"/>
          <w:szCs w:val="24"/>
        </w:rPr>
        <w:t>Limits of freedom of contract</w:t>
      </w:r>
    </w:p>
    <w:p w14:paraId="0F987159" w14:textId="77777777" w:rsidR="00F44DA4" w:rsidRPr="00F44DA4" w:rsidRDefault="00F44DA4" w:rsidP="00F44DA4">
      <w:pPr>
        <w:jc w:val="both"/>
        <w:rPr>
          <w:rFonts w:ascii="Times New Roman" w:hAnsi="Times New Roman" w:cs="Times New Roman"/>
          <w:sz w:val="24"/>
          <w:szCs w:val="24"/>
        </w:rPr>
      </w:pPr>
    </w:p>
    <w:p w14:paraId="66411C6D" w14:textId="77777777" w:rsidR="00F44DA4" w:rsidRPr="00F44DA4" w:rsidRDefault="00F44DA4" w:rsidP="00F44DA4">
      <w:pPr>
        <w:jc w:val="both"/>
        <w:rPr>
          <w:rFonts w:ascii="Times New Roman" w:hAnsi="Times New Roman" w:cs="Times New Roman"/>
          <w:b/>
          <w:bCs/>
          <w:sz w:val="24"/>
          <w:szCs w:val="24"/>
        </w:rPr>
      </w:pPr>
      <w:r w:rsidRPr="00F44DA4">
        <w:rPr>
          <w:rFonts w:ascii="Times New Roman" w:hAnsi="Times New Roman" w:cs="Times New Roman"/>
          <w:b/>
          <w:bCs/>
          <w:sz w:val="24"/>
          <w:szCs w:val="24"/>
        </w:rPr>
        <w:t>Video 2 – Offer, Acceptance, and Certainty</w:t>
      </w:r>
    </w:p>
    <w:p w14:paraId="6EEE765B" w14:textId="188B164C" w:rsidR="00CD1807" w:rsidRDefault="00CD1807" w:rsidP="00F44DA4">
      <w:pPr>
        <w:jc w:val="both"/>
        <w:rPr>
          <w:rFonts w:ascii="Times New Roman" w:hAnsi="Times New Roman" w:cs="Times New Roman"/>
          <w:sz w:val="24"/>
          <w:szCs w:val="24"/>
        </w:rPr>
      </w:pPr>
      <w:r w:rsidRPr="00CD1807">
        <w:rPr>
          <w:rFonts w:ascii="Times New Roman" w:hAnsi="Times New Roman" w:cs="Times New Roman"/>
          <w:sz w:val="24"/>
          <w:szCs w:val="24"/>
        </w:rPr>
        <w:t>This video breaks down the precise mechanics of contract formation through the processes of offer and acceptance. You'll understand how a legally binding agreement is created, the rules governing communication of acceptance</w:t>
      </w:r>
      <w:r>
        <w:rPr>
          <w:rFonts w:ascii="Times New Roman" w:hAnsi="Times New Roman" w:cs="Times New Roman"/>
          <w:sz w:val="24"/>
          <w:szCs w:val="24"/>
        </w:rPr>
        <w:t xml:space="preserve">, </w:t>
      </w:r>
      <w:r w:rsidRPr="00CD1807">
        <w:rPr>
          <w:rFonts w:ascii="Times New Roman" w:hAnsi="Times New Roman" w:cs="Times New Roman"/>
          <w:sz w:val="24"/>
          <w:szCs w:val="24"/>
        </w:rPr>
        <w:t>including the postal rule</w:t>
      </w:r>
      <w:r>
        <w:rPr>
          <w:rFonts w:ascii="Times New Roman" w:hAnsi="Times New Roman" w:cs="Times New Roman"/>
          <w:sz w:val="24"/>
          <w:szCs w:val="24"/>
        </w:rPr>
        <w:t xml:space="preserve">, </w:t>
      </w:r>
      <w:r w:rsidRPr="00CD1807">
        <w:rPr>
          <w:rFonts w:ascii="Times New Roman" w:hAnsi="Times New Roman" w:cs="Times New Roman"/>
          <w:sz w:val="24"/>
          <w:szCs w:val="24"/>
        </w:rPr>
        <w:t>and why certainty in contractual terms is a fundamental requirement for enforceability.</w:t>
      </w:r>
    </w:p>
    <w:p w14:paraId="273CE4DA" w14:textId="163AF5A5" w:rsidR="00F44DA4" w:rsidRPr="00F44DA4" w:rsidRDefault="00F44DA4" w:rsidP="00F44DA4">
      <w:pPr>
        <w:jc w:val="both"/>
        <w:rPr>
          <w:rFonts w:ascii="Times New Roman" w:hAnsi="Times New Roman" w:cs="Times New Roman"/>
          <w:sz w:val="24"/>
          <w:szCs w:val="24"/>
        </w:rPr>
      </w:pPr>
      <w:r w:rsidRPr="00F44DA4">
        <w:rPr>
          <w:rFonts w:ascii="Times New Roman" w:hAnsi="Times New Roman" w:cs="Times New Roman"/>
          <w:sz w:val="24"/>
          <w:szCs w:val="24"/>
        </w:rPr>
        <w:t>Key areas covered</w:t>
      </w:r>
    </w:p>
    <w:p w14:paraId="1A05B0A1" w14:textId="504C17B6" w:rsidR="00F44DA4" w:rsidRPr="00F44DA4" w:rsidRDefault="00F44DA4" w:rsidP="00F44DA4">
      <w:pPr>
        <w:pStyle w:val="ListParagraph"/>
        <w:numPr>
          <w:ilvl w:val="0"/>
          <w:numId w:val="33"/>
        </w:numPr>
        <w:jc w:val="both"/>
        <w:rPr>
          <w:rFonts w:ascii="Times New Roman" w:hAnsi="Times New Roman" w:cs="Times New Roman"/>
          <w:sz w:val="24"/>
          <w:szCs w:val="24"/>
        </w:rPr>
      </w:pPr>
      <w:r w:rsidRPr="00F44DA4">
        <w:rPr>
          <w:rFonts w:ascii="Times New Roman" w:hAnsi="Times New Roman" w:cs="Times New Roman"/>
          <w:sz w:val="24"/>
          <w:szCs w:val="24"/>
        </w:rPr>
        <w:t>Offer vs. invitation to treat</w:t>
      </w:r>
    </w:p>
    <w:p w14:paraId="5F68969E" w14:textId="1F8BC688" w:rsidR="00F44DA4" w:rsidRPr="00F44DA4" w:rsidRDefault="00F44DA4" w:rsidP="00F44DA4">
      <w:pPr>
        <w:pStyle w:val="ListParagraph"/>
        <w:numPr>
          <w:ilvl w:val="0"/>
          <w:numId w:val="33"/>
        </w:numPr>
        <w:jc w:val="both"/>
        <w:rPr>
          <w:rFonts w:ascii="Times New Roman" w:hAnsi="Times New Roman" w:cs="Times New Roman"/>
          <w:sz w:val="24"/>
          <w:szCs w:val="24"/>
        </w:rPr>
      </w:pPr>
      <w:r w:rsidRPr="00F44DA4">
        <w:rPr>
          <w:rFonts w:ascii="Times New Roman" w:hAnsi="Times New Roman" w:cs="Times New Roman"/>
          <w:sz w:val="24"/>
          <w:szCs w:val="24"/>
        </w:rPr>
        <w:t>Acceptance rules and postal rule</w:t>
      </w:r>
    </w:p>
    <w:p w14:paraId="6FFB4767" w14:textId="77A8BDF1" w:rsidR="00F44DA4" w:rsidRPr="00F44DA4" w:rsidRDefault="00F44DA4" w:rsidP="00F44DA4">
      <w:pPr>
        <w:pStyle w:val="ListParagraph"/>
        <w:numPr>
          <w:ilvl w:val="0"/>
          <w:numId w:val="33"/>
        </w:numPr>
        <w:jc w:val="both"/>
        <w:rPr>
          <w:rFonts w:ascii="Times New Roman" w:hAnsi="Times New Roman" w:cs="Times New Roman"/>
          <w:sz w:val="24"/>
          <w:szCs w:val="24"/>
        </w:rPr>
      </w:pPr>
      <w:r w:rsidRPr="00F44DA4">
        <w:rPr>
          <w:rFonts w:ascii="Times New Roman" w:hAnsi="Times New Roman" w:cs="Times New Roman"/>
          <w:sz w:val="24"/>
          <w:szCs w:val="24"/>
        </w:rPr>
        <w:t>Termination of offer</w:t>
      </w:r>
    </w:p>
    <w:p w14:paraId="15EF3634" w14:textId="77777777" w:rsidR="00F44DA4" w:rsidRPr="00F44DA4" w:rsidRDefault="00F44DA4" w:rsidP="00F44DA4">
      <w:pPr>
        <w:pStyle w:val="ListParagraph"/>
        <w:numPr>
          <w:ilvl w:val="0"/>
          <w:numId w:val="33"/>
        </w:numPr>
        <w:jc w:val="both"/>
        <w:rPr>
          <w:rFonts w:ascii="Times New Roman" w:hAnsi="Times New Roman" w:cs="Times New Roman"/>
          <w:sz w:val="24"/>
          <w:szCs w:val="24"/>
        </w:rPr>
      </w:pPr>
      <w:r w:rsidRPr="00F44DA4">
        <w:rPr>
          <w:rFonts w:ascii="Times New Roman" w:hAnsi="Times New Roman" w:cs="Times New Roman"/>
          <w:sz w:val="24"/>
          <w:szCs w:val="24"/>
        </w:rPr>
        <w:t>Requirement of certainty</w:t>
      </w:r>
    </w:p>
    <w:p w14:paraId="14FF1F11" w14:textId="77777777" w:rsidR="00F44DA4" w:rsidRPr="00F44DA4" w:rsidRDefault="00F44DA4" w:rsidP="00F44DA4">
      <w:pPr>
        <w:jc w:val="both"/>
        <w:rPr>
          <w:rFonts w:ascii="Times New Roman" w:hAnsi="Times New Roman" w:cs="Times New Roman"/>
          <w:sz w:val="24"/>
          <w:szCs w:val="24"/>
        </w:rPr>
      </w:pPr>
    </w:p>
    <w:p w14:paraId="1A578F2B" w14:textId="77777777" w:rsidR="00F44DA4" w:rsidRPr="00F44DA4" w:rsidRDefault="00F44DA4" w:rsidP="00F44DA4">
      <w:pPr>
        <w:jc w:val="both"/>
        <w:rPr>
          <w:rFonts w:ascii="Times New Roman" w:hAnsi="Times New Roman" w:cs="Times New Roman"/>
          <w:b/>
          <w:bCs/>
          <w:sz w:val="24"/>
          <w:szCs w:val="24"/>
        </w:rPr>
      </w:pPr>
      <w:r w:rsidRPr="00F44DA4">
        <w:rPr>
          <w:rFonts w:ascii="Times New Roman" w:hAnsi="Times New Roman" w:cs="Times New Roman"/>
          <w:b/>
          <w:bCs/>
          <w:sz w:val="24"/>
          <w:szCs w:val="24"/>
        </w:rPr>
        <w:t>Video 3 – Consideration &amp; Intention to Create Legal Relations</w:t>
      </w:r>
    </w:p>
    <w:p w14:paraId="22F0E413" w14:textId="77777777" w:rsidR="00CD1807" w:rsidRDefault="00CD1807" w:rsidP="00F44DA4">
      <w:pPr>
        <w:jc w:val="both"/>
        <w:rPr>
          <w:rFonts w:ascii="Times New Roman" w:hAnsi="Times New Roman" w:cs="Times New Roman"/>
          <w:sz w:val="24"/>
          <w:szCs w:val="24"/>
        </w:rPr>
      </w:pPr>
      <w:r w:rsidRPr="00CD1807">
        <w:rPr>
          <w:rFonts w:ascii="Times New Roman" w:hAnsi="Times New Roman" w:cs="Times New Roman"/>
          <w:sz w:val="24"/>
          <w:szCs w:val="24"/>
        </w:rPr>
        <w:t>This video explores the two essential doctrines that determine whether a promise is legally binding: consideration and intention to create legal relations. You'll learn what constitutes valid consideration, the significance of promissory estoppel, and the legal presumptions that apply to social versus commercial agreements.</w:t>
      </w:r>
    </w:p>
    <w:p w14:paraId="626292B9" w14:textId="6AE9B5D0" w:rsidR="00F44DA4" w:rsidRPr="00F44DA4" w:rsidRDefault="00F44DA4" w:rsidP="00F44DA4">
      <w:pPr>
        <w:jc w:val="both"/>
        <w:rPr>
          <w:rFonts w:ascii="Times New Roman" w:hAnsi="Times New Roman" w:cs="Times New Roman"/>
          <w:sz w:val="24"/>
          <w:szCs w:val="24"/>
        </w:rPr>
      </w:pPr>
      <w:r w:rsidRPr="00F44DA4">
        <w:rPr>
          <w:rFonts w:ascii="Times New Roman" w:hAnsi="Times New Roman" w:cs="Times New Roman"/>
          <w:sz w:val="24"/>
          <w:szCs w:val="24"/>
        </w:rPr>
        <w:t>Key areas covered</w:t>
      </w:r>
    </w:p>
    <w:p w14:paraId="738A32FC" w14:textId="451110B9" w:rsidR="00F44DA4" w:rsidRPr="00F44DA4" w:rsidRDefault="00F44DA4" w:rsidP="00F44DA4">
      <w:pPr>
        <w:pStyle w:val="ListParagraph"/>
        <w:numPr>
          <w:ilvl w:val="0"/>
          <w:numId w:val="32"/>
        </w:numPr>
        <w:jc w:val="both"/>
        <w:rPr>
          <w:rFonts w:ascii="Times New Roman" w:hAnsi="Times New Roman" w:cs="Times New Roman"/>
          <w:sz w:val="24"/>
          <w:szCs w:val="24"/>
        </w:rPr>
      </w:pPr>
      <w:r w:rsidRPr="00F44DA4">
        <w:rPr>
          <w:rFonts w:ascii="Times New Roman" w:hAnsi="Times New Roman" w:cs="Times New Roman"/>
          <w:sz w:val="24"/>
          <w:szCs w:val="24"/>
        </w:rPr>
        <w:t>Definition and sufficiency of consideration</w:t>
      </w:r>
    </w:p>
    <w:p w14:paraId="0E2C1C36" w14:textId="6B3AAD23" w:rsidR="00F44DA4" w:rsidRPr="00F44DA4" w:rsidRDefault="00F44DA4" w:rsidP="00F44DA4">
      <w:pPr>
        <w:pStyle w:val="ListParagraph"/>
        <w:numPr>
          <w:ilvl w:val="0"/>
          <w:numId w:val="32"/>
        </w:numPr>
        <w:jc w:val="both"/>
        <w:rPr>
          <w:rFonts w:ascii="Times New Roman" w:hAnsi="Times New Roman" w:cs="Times New Roman"/>
          <w:sz w:val="24"/>
          <w:szCs w:val="24"/>
        </w:rPr>
      </w:pPr>
      <w:r w:rsidRPr="00F44DA4">
        <w:rPr>
          <w:rFonts w:ascii="Times New Roman" w:hAnsi="Times New Roman" w:cs="Times New Roman"/>
          <w:sz w:val="24"/>
          <w:szCs w:val="24"/>
        </w:rPr>
        <w:t>Past, executed, and executory consideration</w:t>
      </w:r>
    </w:p>
    <w:p w14:paraId="1FCE65B5" w14:textId="7BBF0BF5" w:rsidR="00F44DA4" w:rsidRPr="00F44DA4" w:rsidRDefault="00F44DA4" w:rsidP="00F44DA4">
      <w:pPr>
        <w:pStyle w:val="ListParagraph"/>
        <w:numPr>
          <w:ilvl w:val="0"/>
          <w:numId w:val="32"/>
        </w:numPr>
        <w:jc w:val="both"/>
        <w:rPr>
          <w:rFonts w:ascii="Times New Roman" w:hAnsi="Times New Roman" w:cs="Times New Roman"/>
          <w:sz w:val="24"/>
          <w:szCs w:val="24"/>
        </w:rPr>
      </w:pPr>
      <w:r w:rsidRPr="00F44DA4">
        <w:rPr>
          <w:rFonts w:ascii="Times New Roman" w:hAnsi="Times New Roman" w:cs="Times New Roman"/>
          <w:sz w:val="24"/>
          <w:szCs w:val="24"/>
        </w:rPr>
        <w:t>Promissory estoppel</w:t>
      </w:r>
    </w:p>
    <w:p w14:paraId="4C209DEE" w14:textId="77777777" w:rsidR="00F44DA4" w:rsidRPr="00F44DA4" w:rsidRDefault="00F44DA4" w:rsidP="00F44DA4">
      <w:pPr>
        <w:pStyle w:val="ListParagraph"/>
        <w:numPr>
          <w:ilvl w:val="0"/>
          <w:numId w:val="32"/>
        </w:numPr>
        <w:jc w:val="both"/>
        <w:rPr>
          <w:rFonts w:ascii="Times New Roman" w:hAnsi="Times New Roman" w:cs="Times New Roman"/>
          <w:sz w:val="24"/>
          <w:szCs w:val="24"/>
        </w:rPr>
      </w:pPr>
      <w:r w:rsidRPr="00F44DA4">
        <w:rPr>
          <w:rFonts w:ascii="Times New Roman" w:hAnsi="Times New Roman" w:cs="Times New Roman"/>
          <w:sz w:val="24"/>
          <w:szCs w:val="24"/>
        </w:rPr>
        <w:t>Social vs. commercial intention</w:t>
      </w:r>
    </w:p>
    <w:p w14:paraId="1A5790C0" w14:textId="77777777" w:rsidR="00F44DA4" w:rsidRPr="00F44DA4" w:rsidRDefault="00F44DA4" w:rsidP="00F44DA4">
      <w:pPr>
        <w:jc w:val="both"/>
        <w:rPr>
          <w:rFonts w:ascii="Times New Roman" w:hAnsi="Times New Roman" w:cs="Times New Roman"/>
          <w:sz w:val="24"/>
          <w:szCs w:val="24"/>
        </w:rPr>
      </w:pPr>
    </w:p>
    <w:p w14:paraId="2C58CEB2" w14:textId="77777777" w:rsidR="00F44DA4" w:rsidRPr="00F44DA4" w:rsidRDefault="00F44DA4" w:rsidP="00F44DA4">
      <w:pPr>
        <w:jc w:val="both"/>
        <w:rPr>
          <w:rFonts w:ascii="Times New Roman" w:hAnsi="Times New Roman" w:cs="Times New Roman"/>
          <w:b/>
          <w:bCs/>
          <w:sz w:val="24"/>
          <w:szCs w:val="24"/>
        </w:rPr>
      </w:pPr>
      <w:r w:rsidRPr="00F44DA4">
        <w:rPr>
          <w:rFonts w:ascii="Times New Roman" w:hAnsi="Times New Roman" w:cs="Times New Roman"/>
          <w:b/>
          <w:bCs/>
          <w:sz w:val="24"/>
          <w:szCs w:val="24"/>
        </w:rPr>
        <w:lastRenderedPageBreak/>
        <w:t>Video 4 – Privity and Third-Party Rights</w:t>
      </w:r>
    </w:p>
    <w:p w14:paraId="6C5B985F" w14:textId="77777777" w:rsidR="00CD1807" w:rsidRDefault="00CD1807" w:rsidP="00F44DA4">
      <w:pPr>
        <w:jc w:val="both"/>
        <w:rPr>
          <w:rFonts w:ascii="Times New Roman" w:hAnsi="Times New Roman" w:cs="Times New Roman"/>
          <w:sz w:val="24"/>
          <w:szCs w:val="24"/>
        </w:rPr>
      </w:pPr>
      <w:r w:rsidRPr="00CD1807">
        <w:rPr>
          <w:rFonts w:ascii="Times New Roman" w:hAnsi="Times New Roman" w:cs="Times New Roman"/>
          <w:sz w:val="24"/>
          <w:szCs w:val="24"/>
        </w:rPr>
        <w:t>This video examines the traditional doctrine of privity of contract and its significant modern exceptions. You'll understand the common law workarounds and, crucially, how the Contracts (Rights of Third Parties) Act 1999 allows identified third parties to enforce terms intended for their benefit, along with the rules governing variation and rescission.</w:t>
      </w:r>
    </w:p>
    <w:p w14:paraId="14AF588A" w14:textId="03C309CC" w:rsidR="00F44DA4" w:rsidRPr="00F44DA4" w:rsidRDefault="00F44DA4" w:rsidP="00F44DA4">
      <w:pPr>
        <w:jc w:val="both"/>
        <w:rPr>
          <w:rFonts w:ascii="Times New Roman" w:hAnsi="Times New Roman" w:cs="Times New Roman"/>
          <w:sz w:val="24"/>
          <w:szCs w:val="24"/>
        </w:rPr>
      </w:pPr>
      <w:r w:rsidRPr="00F44DA4">
        <w:rPr>
          <w:rFonts w:ascii="Times New Roman" w:hAnsi="Times New Roman" w:cs="Times New Roman"/>
          <w:sz w:val="24"/>
          <w:szCs w:val="24"/>
        </w:rPr>
        <w:t>Key areas covered</w:t>
      </w:r>
    </w:p>
    <w:p w14:paraId="43E9EBDF" w14:textId="6F904DBB" w:rsidR="00F44DA4" w:rsidRPr="00F44DA4" w:rsidRDefault="00F44DA4" w:rsidP="00F44DA4">
      <w:pPr>
        <w:pStyle w:val="ListParagraph"/>
        <w:numPr>
          <w:ilvl w:val="0"/>
          <w:numId w:val="31"/>
        </w:numPr>
        <w:jc w:val="both"/>
        <w:rPr>
          <w:rFonts w:ascii="Times New Roman" w:hAnsi="Times New Roman" w:cs="Times New Roman"/>
          <w:sz w:val="24"/>
          <w:szCs w:val="24"/>
        </w:rPr>
      </w:pPr>
      <w:r w:rsidRPr="00F44DA4">
        <w:rPr>
          <w:rFonts w:ascii="Times New Roman" w:hAnsi="Times New Roman" w:cs="Times New Roman"/>
          <w:sz w:val="24"/>
          <w:szCs w:val="24"/>
        </w:rPr>
        <w:t>Privity of contract</w:t>
      </w:r>
    </w:p>
    <w:p w14:paraId="31C9E48D" w14:textId="6FE64274" w:rsidR="00F44DA4" w:rsidRPr="00F44DA4" w:rsidRDefault="00F44DA4" w:rsidP="00F44DA4">
      <w:pPr>
        <w:pStyle w:val="ListParagraph"/>
        <w:numPr>
          <w:ilvl w:val="0"/>
          <w:numId w:val="31"/>
        </w:numPr>
        <w:jc w:val="both"/>
        <w:rPr>
          <w:rFonts w:ascii="Times New Roman" w:hAnsi="Times New Roman" w:cs="Times New Roman"/>
          <w:sz w:val="24"/>
          <w:szCs w:val="24"/>
        </w:rPr>
      </w:pPr>
      <w:r w:rsidRPr="00F44DA4">
        <w:rPr>
          <w:rFonts w:ascii="Times New Roman" w:hAnsi="Times New Roman" w:cs="Times New Roman"/>
          <w:sz w:val="24"/>
          <w:szCs w:val="24"/>
        </w:rPr>
        <w:t>Common law exceptions</w:t>
      </w:r>
    </w:p>
    <w:p w14:paraId="419E6257" w14:textId="402894EE" w:rsidR="00F44DA4" w:rsidRPr="00F44DA4" w:rsidRDefault="00F44DA4" w:rsidP="00F44DA4">
      <w:pPr>
        <w:pStyle w:val="ListParagraph"/>
        <w:numPr>
          <w:ilvl w:val="0"/>
          <w:numId w:val="31"/>
        </w:numPr>
        <w:jc w:val="both"/>
        <w:rPr>
          <w:rFonts w:ascii="Times New Roman" w:hAnsi="Times New Roman" w:cs="Times New Roman"/>
          <w:sz w:val="24"/>
          <w:szCs w:val="24"/>
        </w:rPr>
      </w:pPr>
      <w:r w:rsidRPr="00F44DA4">
        <w:rPr>
          <w:rFonts w:ascii="Times New Roman" w:hAnsi="Times New Roman" w:cs="Times New Roman"/>
          <w:sz w:val="24"/>
          <w:szCs w:val="24"/>
        </w:rPr>
        <w:t>Third-party rights under the 1999 Act</w:t>
      </w:r>
    </w:p>
    <w:p w14:paraId="742F6B89" w14:textId="77777777" w:rsidR="00F44DA4" w:rsidRPr="00F44DA4" w:rsidRDefault="00F44DA4" w:rsidP="00F44DA4">
      <w:pPr>
        <w:pStyle w:val="ListParagraph"/>
        <w:numPr>
          <w:ilvl w:val="0"/>
          <w:numId w:val="31"/>
        </w:numPr>
        <w:jc w:val="both"/>
        <w:rPr>
          <w:rFonts w:ascii="Times New Roman" w:hAnsi="Times New Roman" w:cs="Times New Roman"/>
          <w:sz w:val="24"/>
          <w:szCs w:val="24"/>
        </w:rPr>
      </w:pPr>
      <w:r w:rsidRPr="00F44DA4">
        <w:rPr>
          <w:rFonts w:ascii="Times New Roman" w:hAnsi="Times New Roman" w:cs="Times New Roman"/>
          <w:sz w:val="24"/>
          <w:szCs w:val="24"/>
        </w:rPr>
        <w:t>Variation and rescission rules</w:t>
      </w:r>
    </w:p>
    <w:p w14:paraId="5A3D4EFE" w14:textId="77777777" w:rsidR="00F44DA4" w:rsidRPr="00F44DA4" w:rsidRDefault="00F44DA4" w:rsidP="00F44DA4">
      <w:pPr>
        <w:jc w:val="both"/>
        <w:rPr>
          <w:rFonts w:ascii="Times New Roman" w:hAnsi="Times New Roman" w:cs="Times New Roman"/>
          <w:b/>
          <w:bCs/>
          <w:sz w:val="24"/>
          <w:szCs w:val="24"/>
        </w:rPr>
      </w:pPr>
    </w:p>
    <w:p w14:paraId="7D0C5996" w14:textId="77777777" w:rsidR="00F44DA4" w:rsidRPr="00F44DA4" w:rsidRDefault="00F44DA4" w:rsidP="00F44DA4">
      <w:pPr>
        <w:jc w:val="both"/>
        <w:rPr>
          <w:rFonts w:ascii="Times New Roman" w:hAnsi="Times New Roman" w:cs="Times New Roman"/>
          <w:b/>
          <w:bCs/>
          <w:sz w:val="24"/>
          <w:szCs w:val="24"/>
        </w:rPr>
      </w:pPr>
      <w:r w:rsidRPr="00F44DA4">
        <w:rPr>
          <w:rFonts w:ascii="Times New Roman" w:hAnsi="Times New Roman" w:cs="Times New Roman"/>
          <w:b/>
          <w:bCs/>
          <w:sz w:val="24"/>
          <w:szCs w:val="24"/>
        </w:rPr>
        <w:t>Video 5 – Contract Terms Explained</w:t>
      </w:r>
    </w:p>
    <w:p w14:paraId="5A1BC4BA" w14:textId="77777777" w:rsidR="00CD1807" w:rsidRDefault="00CD1807" w:rsidP="00F44DA4">
      <w:pPr>
        <w:jc w:val="both"/>
        <w:rPr>
          <w:rFonts w:ascii="Times New Roman" w:hAnsi="Times New Roman" w:cs="Times New Roman"/>
          <w:sz w:val="24"/>
          <w:szCs w:val="24"/>
        </w:rPr>
      </w:pPr>
      <w:r w:rsidRPr="00CD1807">
        <w:rPr>
          <w:rFonts w:ascii="Times New Roman" w:hAnsi="Times New Roman" w:cs="Times New Roman"/>
          <w:sz w:val="24"/>
          <w:szCs w:val="24"/>
        </w:rPr>
        <w:t>This video distinguishes between the different types of terms within a contract and explains the rules for their incorporation. You'll also learn how terms can be implied into a contract by fact, law, or custom, and explore key statutory protections provided by legislation like the Sale of Goods Act.</w:t>
      </w:r>
    </w:p>
    <w:p w14:paraId="6EC868D9" w14:textId="678AFD14" w:rsidR="00F44DA4" w:rsidRPr="00F44DA4" w:rsidRDefault="00F44DA4" w:rsidP="00F44DA4">
      <w:pPr>
        <w:jc w:val="both"/>
        <w:rPr>
          <w:rFonts w:ascii="Times New Roman" w:hAnsi="Times New Roman" w:cs="Times New Roman"/>
          <w:sz w:val="24"/>
          <w:szCs w:val="24"/>
        </w:rPr>
      </w:pPr>
      <w:r w:rsidRPr="00F44DA4">
        <w:rPr>
          <w:rFonts w:ascii="Times New Roman" w:hAnsi="Times New Roman" w:cs="Times New Roman"/>
          <w:sz w:val="24"/>
          <w:szCs w:val="24"/>
        </w:rPr>
        <w:t>Key areas covered</w:t>
      </w:r>
    </w:p>
    <w:p w14:paraId="3FEDD844" w14:textId="41C94FE5" w:rsidR="00F44DA4" w:rsidRPr="00F44DA4" w:rsidRDefault="00F44DA4" w:rsidP="00F44DA4">
      <w:pPr>
        <w:pStyle w:val="ListParagraph"/>
        <w:numPr>
          <w:ilvl w:val="0"/>
          <w:numId w:val="30"/>
        </w:numPr>
        <w:jc w:val="both"/>
        <w:rPr>
          <w:rFonts w:ascii="Times New Roman" w:hAnsi="Times New Roman" w:cs="Times New Roman"/>
          <w:sz w:val="24"/>
          <w:szCs w:val="24"/>
        </w:rPr>
      </w:pPr>
      <w:r w:rsidRPr="00F44DA4">
        <w:rPr>
          <w:rFonts w:ascii="Times New Roman" w:hAnsi="Times New Roman" w:cs="Times New Roman"/>
          <w:sz w:val="24"/>
          <w:szCs w:val="24"/>
        </w:rPr>
        <w:t>Express terms vs. representations</w:t>
      </w:r>
    </w:p>
    <w:p w14:paraId="4DB79CC0" w14:textId="60C35CBB" w:rsidR="00F44DA4" w:rsidRPr="00F44DA4" w:rsidRDefault="00F44DA4" w:rsidP="00F44DA4">
      <w:pPr>
        <w:pStyle w:val="ListParagraph"/>
        <w:numPr>
          <w:ilvl w:val="0"/>
          <w:numId w:val="30"/>
        </w:numPr>
        <w:jc w:val="both"/>
        <w:rPr>
          <w:rFonts w:ascii="Times New Roman" w:hAnsi="Times New Roman" w:cs="Times New Roman"/>
          <w:sz w:val="24"/>
          <w:szCs w:val="24"/>
        </w:rPr>
      </w:pPr>
      <w:r w:rsidRPr="00F44DA4">
        <w:rPr>
          <w:rFonts w:ascii="Times New Roman" w:hAnsi="Times New Roman" w:cs="Times New Roman"/>
          <w:sz w:val="24"/>
          <w:szCs w:val="24"/>
        </w:rPr>
        <w:t>Incorporation of written terms</w:t>
      </w:r>
    </w:p>
    <w:p w14:paraId="1CA22382" w14:textId="43EC714D" w:rsidR="00F44DA4" w:rsidRPr="00F44DA4" w:rsidRDefault="00F44DA4" w:rsidP="00F44DA4">
      <w:pPr>
        <w:pStyle w:val="ListParagraph"/>
        <w:numPr>
          <w:ilvl w:val="0"/>
          <w:numId w:val="30"/>
        </w:numPr>
        <w:jc w:val="both"/>
        <w:rPr>
          <w:rFonts w:ascii="Times New Roman" w:hAnsi="Times New Roman" w:cs="Times New Roman"/>
          <w:sz w:val="24"/>
          <w:szCs w:val="24"/>
        </w:rPr>
      </w:pPr>
      <w:r w:rsidRPr="00F44DA4">
        <w:rPr>
          <w:rFonts w:ascii="Times New Roman" w:hAnsi="Times New Roman" w:cs="Times New Roman"/>
          <w:sz w:val="24"/>
          <w:szCs w:val="24"/>
        </w:rPr>
        <w:t>Implied terms</w:t>
      </w:r>
    </w:p>
    <w:p w14:paraId="1338E2A2" w14:textId="77777777" w:rsidR="00F44DA4" w:rsidRPr="00F44DA4" w:rsidRDefault="00F44DA4" w:rsidP="00F44DA4">
      <w:pPr>
        <w:pStyle w:val="ListParagraph"/>
        <w:numPr>
          <w:ilvl w:val="0"/>
          <w:numId w:val="30"/>
        </w:numPr>
        <w:jc w:val="both"/>
        <w:rPr>
          <w:rFonts w:ascii="Times New Roman" w:hAnsi="Times New Roman" w:cs="Times New Roman"/>
          <w:sz w:val="24"/>
          <w:szCs w:val="24"/>
        </w:rPr>
      </w:pPr>
      <w:r w:rsidRPr="00F44DA4">
        <w:rPr>
          <w:rFonts w:ascii="Times New Roman" w:hAnsi="Times New Roman" w:cs="Times New Roman"/>
          <w:sz w:val="24"/>
          <w:szCs w:val="24"/>
        </w:rPr>
        <w:t>Statutory protections</w:t>
      </w:r>
    </w:p>
    <w:p w14:paraId="085B215E" w14:textId="77777777" w:rsidR="00F44DA4" w:rsidRPr="00F44DA4" w:rsidRDefault="00F44DA4" w:rsidP="00F44DA4">
      <w:pPr>
        <w:jc w:val="both"/>
        <w:rPr>
          <w:rFonts w:ascii="Times New Roman" w:hAnsi="Times New Roman" w:cs="Times New Roman"/>
          <w:sz w:val="24"/>
          <w:szCs w:val="24"/>
        </w:rPr>
      </w:pPr>
    </w:p>
    <w:p w14:paraId="2B1BD5B0" w14:textId="77777777" w:rsidR="00F44DA4" w:rsidRPr="00F44DA4" w:rsidRDefault="00F44DA4" w:rsidP="00F44DA4">
      <w:pPr>
        <w:jc w:val="both"/>
        <w:rPr>
          <w:rFonts w:ascii="Times New Roman" w:hAnsi="Times New Roman" w:cs="Times New Roman"/>
          <w:b/>
          <w:bCs/>
          <w:sz w:val="24"/>
          <w:szCs w:val="24"/>
        </w:rPr>
      </w:pPr>
      <w:r w:rsidRPr="00F44DA4">
        <w:rPr>
          <w:rFonts w:ascii="Times New Roman" w:hAnsi="Times New Roman" w:cs="Times New Roman"/>
          <w:b/>
          <w:bCs/>
          <w:sz w:val="24"/>
          <w:szCs w:val="24"/>
        </w:rPr>
        <w:t>Video 7 – Misrepresentation and Mistake</w:t>
      </w:r>
    </w:p>
    <w:p w14:paraId="59CE2FE5" w14:textId="77777777" w:rsidR="00CD1807" w:rsidRDefault="00CD1807" w:rsidP="00F44DA4">
      <w:pPr>
        <w:jc w:val="both"/>
        <w:rPr>
          <w:rFonts w:ascii="Times New Roman" w:hAnsi="Times New Roman" w:cs="Times New Roman"/>
          <w:sz w:val="24"/>
          <w:szCs w:val="24"/>
        </w:rPr>
      </w:pPr>
      <w:r w:rsidRPr="00CD1807">
        <w:rPr>
          <w:rFonts w:ascii="Times New Roman" w:hAnsi="Times New Roman" w:cs="Times New Roman"/>
          <w:sz w:val="24"/>
          <w:szCs w:val="24"/>
        </w:rPr>
        <w:t>This video explores the vitiating factors of misrepresentation and common mistake, which can undermine a contract's validity. You'll understand the different types of misrepresentation, the available remedies, and the circumstances in which a shared fundamental error can render a contract void from the outset.</w:t>
      </w:r>
    </w:p>
    <w:p w14:paraId="2DB0157C" w14:textId="1FA36108" w:rsidR="00F44DA4" w:rsidRPr="00F44DA4" w:rsidRDefault="00F44DA4" w:rsidP="00F44DA4">
      <w:pPr>
        <w:jc w:val="both"/>
        <w:rPr>
          <w:rFonts w:ascii="Times New Roman" w:hAnsi="Times New Roman" w:cs="Times New Roman"/>
          <w:sz w:val="24"/>
          <w:szCs w:val="24"/>
        </w:rPr>
      </w:pPr>
      <w:r w:rsidRPr="00F44DA4">
        <w:rPr>
          <w:rFonts w:ascii="Times New Roman" w:hAnsi="Times New Roman" w:cs="Times New Roman"/>
          <w:sz w:val="24"/>
          <w:szCs w:val="24"/>
        </w:rPr>
        <w:t>Key areas covered</w:t>
      </w:r>
    </w:p>
    <w:p w14:paraId="24FADF54" w14:textId="0F7F66E4" w:rsidR="00F44DA4" w:rsidRPr="00F44DA4" w:rsidRDefault="00F44DA4" w:rsidP="00F44DA4">
      <w:pPr>
        <w:pStyle w:val="ListParagraph"/>
        <w:numPr>
          <w:ilvl w:val="0"/>
          <w:numId w:val="29"/>
        </w:numPr>
        <w:jc w:val="both"/>
        <w:rPr>
          <w:rFonts w:ascii="Times New Roman" w:hAnsi="Times New Roman" w:cs="Times New Roman"/>
          <w:sz w:val="24"/>
          <w:szCs w:val="24"/>
        </w:rPr>
      </w:pPr>
      <w:r w:rsidRPr="00F44DA4">
        <w:rPr>
          <w:rFonts w:ascii="Times New Roman" w:hAnsi="Times New Roman" w:cs="Times New Roman"/>
          <w:sz w:val="24"/>
          <w:szCs w:val="24"/>
        </w:rPr>
        <w:t>Types of misrepresentation</w:t>
      </w:r>
    </w:p>
    <w:p w14:paraId="54D19E13" w14:textId="472C7488" w:rsidR="00F44DA4" w:rsidRPr="00F44DA4" w:rsidRDefault="00F44DA4" w:rsidP="00F44DA4">
      <w:pPr>
        <w:pStyle w:val="ListParagraph"/>
        <w:numPr>
          <w:ilvl w:val="0"/>
          <w:numId w:val="29"/>
        </w:numPr>
        <w:jc w:val="both"/>
        <w:rPr>
          <w:rFonts w:ascii="Times New Roman" w:hAnsi="Times New Roman" w:cs="Times New Roman"/>
          <w:sz w:val="24"/>
          <w:szCs w:val="24"/>
        </w:rPr>
      </w:pPr>
      <w:r w:rsidRPr="00F44DA4">
        <w:rPr>
          <w:rFonts w:ascii="Times New Roman" w:hAnsi="Times New Roman" w:cs="Times New Roman"/>
          <w:sz w:val="24"/>
          <w:szCs w:val="24"/>
        </w:rPr>
        <w:t>Remedies for misrepresentation</w:t>
      </w:r>
    </w:p>
    <w:p w14:paraId="0110DC5D" w14:textId="56EC6D5D" w:rsidR="00F44DA4" w:rsidRPr="00F44DA4" w:rsidRDefault="00F44DA4" w:rsidP="00F44DA4">
      <w:pPr>
        <w:pStyle w:val="ListParagraph"/>
        <w:numPr>
          <w:ilvl w:val="0"/>
          <w:numId w:val="29"/>
        </w:numPr>
        <w:jc w:val="both"/>
        <w:rPr>
          <w:rFonts w:ascii="Times New Roman" w:hAnsi="Times New Roman" w:cs="Times New Roman"/>
          <w:sz w:val="24"/>
          <w:szCs w:val="24"/>
        </w:rPr>
      </w:pPr>
      <w:r w:rsidRPr="00F44DA4">
        <w:rPr>
          <w:rFonts w:ascii="Times New Roman" w:hAnsi="Times New Roman" w:cs="Times New Roman"/>
          <w:sz w:val="24"/>
          <w:szCs w:val="24"/>
        </w:rPr>
        <w:t>Common mistake and void contracts</w:t>
      </w:r>
    </w:p>
    <w:p w14:paraId="7EE284B1" w14:textId="77777777" w:rsidR="00F44DA4" w:rsidRPr="00F44DA4" w:rsidRDefault="00F44DA4" w:rsidP="00F44DA4">
      <w:pPr>
        <w:pStyle w:val="ListParagraph"/>
        <w:numPr>
          <w:ilvl w:val="0"/>
          <w:numId w:val="29"/>
        </w:numPr>
        <w:jc w:val="both"/>
        <w:rPr>
          <w:rFonts w:ascii="Times New Roman" w:hAnsi="Times New Roman" w:cs="Times New Roman"/>
          <w:sz w:val="24"/>
          <w:szCs w:val="24"/>
        </w:rPr>
      </w:pPr>
      <w:r w:rsidRPr="00F44DA4">
        <w:rPr>
          <w:rFonts w:ascii="Times New Roman" w:hAnsi="Times New Roman" w:cs="Times New Roman"/>
          <w:sz w:val="24"/>
          <w:szCs w:val="24"/>
        </w:rPr>
        <w:t>Misrepresentation Act 1967</w:t>
      </w:r>
    </w:p>
    <w:p w14:paraId="5309813F" w14:textId="77777777" w:rsidR="00F44DA4" w:rsidRPr="00F44DA4" w:rsidRDefault="00F44DA4" w:rsidP="00F44DA4">
      <w:pPr>
        <w:jc w:val="both"/>
        <w:rPr>
          <w:rFonts w:ascii="Times New Roman" w:hAnsi="Times New Roman" w:cs="Times New Roman"/>
          <w:sz w:val="24"/>
          <w:szCs w:val="24"/>
        </w:rPr>
      </w:pPr>
    </w:p>
    <w:p w14:paraId="2EB03883" w14:textId="77777777" w:rsidR="00F44DA4" w:rsidRPr="00F44DA4" w:rsidRDefault="00F44DA4" w:rsidP="00F44DA4">
      <w:pPr>
        <w:jc w:val="both"/>
        <w:rPr>
          <w:rFonts w:ascii="Times New Roman" w:hAnsi="Times New Roman" w:cs="Times New Roman"/>
          <w:b/>
          <w:bCs/>
          <w:sz w:val="24"/>
          <w:szCs w:val="24"/>
        </w:rPr>
      </w:pPr>
      <w:r w:rsidRPr="00F44DA4">
        <w:rPr>
          <w:rFonts w:ascii="Times New Roman" w:hAnsi="Times New Roman" w:cs="Times New Roman"/>
          <w:b/>
          <w:bCs/>
          <w:sz w:val="24"/>
          <w:szCs w:val="24"/>
        </w:rPr>
        <w:t>Video 8 – Duress, Undue Influence, and Illegality</w:t>
      </w:r>
    </w:p>
    <w:p w14:paraId="3E32A5FD" w14:textId="77777777" w:rsidR="00CD1807" w:rsidRDefault="00CD1807" w:rsidP="00F44DA4">
      <w:pPr>
        <w:jc w:val="both"/>
        <w:rPr>
          <w:rFonts w:ascii="Times New Roman" w:hAnsi="Times New Roman" w:cs="Times New Roman"/>
          <w:sz w:val="24"/>
          <w:szCs w:val="24"/>
        </w:rPr>
      </w:pPr>
      <w:r w:rsidRPr="00CD1807">
        <w:rPr>
          <w:rFonts w:ascii="Times New Roman" w:hAnsi="Times New Roman" w:cs="Times New Roman"/>
          <w:sz w:val="24"/>
          <w:szCs w:val="24"/>
        </w:rPr>
        <w:t xml:space="preserve">This video covers the grounds of duress, undue influence, and illegality, which can render a contract unenforceable. You'll learn how improper pressure, exploitation of trust, or an </w:t>
      </w:r>
      <w:r w:rsidRPr="00CD1807">
        <w:rPr>
          <w:rFonts w:ascii="Times New Roman" w:hAnsi="Times New Roman" w:cs="Times New Roman"/>
          <w:sz w:val="24"/>
          <w:szCs w:val="24"/>
        </w:rPr>
        <w:lastRenderedPageBreak/>
        <w:t>unlawful purpose can affect a contract's validity, including the modern, flexible approach to illegality established by the courts.</w:t>
      </w:r>
    </w:p>
    <w:p w14:paraId="37BB7FA7" w14:textId="366E3D4E" w:rsidR="00F44DA4" w:rsidRPr="00F44DA4" w:rsidRDefault="00F44DA4" w:rsidP="00F44DA4">
      <w:pPr>
        <w:jc w:val="both"/>
        <w:rPr>
          <w:rFonts w:ascii="Times New Roman" w:hAnsi="Times New Roman" w:cs="Times New Roman"/>
          <w:sz w:val="24"/>
          <w:szCs w:val="24"/>
        </w:rPr>
      </w:pPr>
      <w:r w:rsidRPr="00F44DA4">
        <w:rPr>
          <w:rFonts w:ascii="Times New Roman" w:hAnsi="Times New Roman" w:cs="Times New Roman"/>
          <w:sz w:val="24"/>
          <w:szCs w:val="24"/>
        </w:rPr>
        <w:t>Key areas covered</w:t>
      </w:r>
    </w:p>
    <w:p w14:paraId="0783DF3F" w14:textId="36AAE888" w:rsidR="00F44DA4" w:rsidRPr="00F44DA4" w:rsidRDefault="00F44DA4" w:rsidP="00F44DA4">
      <w:pPr>
        <w:pStyle w:val="ListParagraph"/>
        <w:numPr>
          <w:ilvl w:val="0"/>
          <w:numId w:val="28"/>
        </w:numPr>
        <w:jc w:val="both"/>
        <w:rPr>
          <w:rFonts w:ascii="Times New Roman" w:hAnsi="Times New Roman" w:cs="Times New Roman"/>
          <w:sz w:val="24"/>
          <w:szCs w:val="24"/>
        </w:rPr>
      </w:pPr>
      <w:r w:rsidRPr="00F44DA4">
        <w:rPr>
          <w:rFonts w:ascii="Times New Roman" w:hAnsi="Times New Roman" w:cs="Times New Roman"/>
          <w:sz w:val="24"/>
          <w:szCs w:val="24"/>
        </w:rPr>
        <w:t>Types of duress</w:t>
      </w:r>
    </w:p>
    <w:p w14:paraId="5F5D2470" w14:textId="567737F7" w:rsidR="00F44DA4" w:rsidRPr="00F44DA4" w:rsidRDefault="00F44DA4" w:rsidP="00F44DA4">
      <w:pPr>
        <w:pStyle w:val="ListParagraph"/>
        <w:numPr>
          <w:ilvl w:val="0"/>
          <w:numId w:val="28"/>
        </w:numPr>
        <w:jc w:val="both"/>
        <w:rPr>
          <w:rFonts w:ascii="Times New Roman" w:hAnsi="Times New Roman" w:cs="Times New Roman"/>
          <w:sz w:val="24"/>
          <w:szCs w:val="24"/>
        </w:rPr>
      </w:pPr>
      <w:r w:rsidRPr="00F44DA4">
        <w:rPr>
          <w:rFonts w:ascii="Times New Roman" w:hAnsi="Times New Roman" w:cs="Times New Roman"/>
          <w:sz w:val="24"/>
          <w:szCs w:val="24"/>
        </w:rPr>
        <w:t>Undue influence and categories</w:t>
      </w:r>
    </w:p>
    <w:p w14:paraId="5C8914FD" w14:textId="04EEC138" w:rsidR="00F44DA4" w:rsidRPr="00F44DA4" w:rsidRDefault="00F44DA4" w:rsidP="00F44DA4">
      <w:pPr>
        <w:pStyle w:val="ListParagraph"/>
        <w:numPr>
          <w:ilvl w:val="0"/>
          <w:numId w:val="28"/>
        </w:numPr>
        <w:jc w:val="both"/>
        <w:rPr>
          <w:rFonts w:ascii="Times New Roman" w:hAnsi="Times New Roman" w:cs="Times New Roman"/>
          <w:sz w:val="24"/>
          <w:szCs w:val="24"/>
        </w:rPr>
      </w:pPr>
      <w:r w:rsidRPr="00F44DA4">
        <w:rPr>
          <w:rFonts w:ascii="Times New Roman" w:hAnsi="Times New Roman" w:cs="Times New Roman"/>
          <w:sz w:val="24"/>
          <w:szCs w:val="24"/>
        </w:rPr>
        <w:t>Third-party influence guidelines</w:t>
      </w:r>
    </w:p>
    <w:p w14:paraId="11F70581" w14:textId="77777777" w:rsidR="00F44DA4" w:rsidRPr="00F44DA4" w:rsidRDefault="00F44DA4" w:rsidP="00F44DA4">
      <w:pPr>
        <w:pStyle w:val="ListParagraph"/>
        <w:numPr>
          <w:ilvl w:val="0"/>
          <w:numId w:val="28"/>
        </w:numPr>
        <w:jc w:val="both"/>
        <w:rPr>
          <w:rFonts w:ascii="Times New Roman" w:hAnsi="Times New Roman" w:cs="Times New Roman"/>
          <w:sz w:val="24"/>
          <w:szCs w:val="24"/>
        </w:rPr>
      </w:pPr>
      <w:r w:rsidRPr="00F44DA4">
        <w:rPr>
          <w:rFonts w:ascii="Times New Roman" w:hAnsi="Times New Roman" w:cs="Times New Roman"/>
          <w:sz w:val="24"/>
          <w:szCs w:val="24"/>
        </w:rPr>
        <w:t>Modern illegality test</w:t>
      </w:r>
    </w:p>
    <w:p w14:paraId="4C9AE64D" w14:textId="77777777" w:rsidR="00F44DA4" w:rsidRPr="00F44DA4" w:rsidRDefault="00F44DA4" w:rsidP="00F44DA4">
      <w:pPr>
        <w:jc w:val="both"/>
        <w:rPr>
          <w:rFonts w:ascii="Times New Roman" w:hAnsi="Times New Roman" w:cs="Times New Roman"/>
          <w:sz w:val="24"/>
          <w:szCs w:val="24"/>
        </w:rPr>
      </w:pPr>
    </w:p>
    <w:p w14:paraId="6D81F9E7" w14:textId="77777777" w:rsidR="00F44DA4" w:rsidRPr="00F44DA4" w:rsidRDefault="00F44DA4" w:rsidP="00F44DA4">
      <w:pPr>
        <w:jc w:val="both"/>
        <w:rPr>
          <w:rFonts w:ascii="Times New Roman" w:hAnsi="Times New Roman" w:cs="Times New Roman"/>
          <w:b/>
          <w:bCs/>
          <w:sz w:val="24"/>
          <w:szCs w:val="24"/>
        </w:rPr>
      </w:pPr>
      <w:r w:rsidRPr="00F44DA4">
        <w:rPr>
          <w:rFonts w:ascii="Times New Roman" w:hAnsi="Times New Roman" w:cs="Times New Roman"/>
          <w:b/>
          <w:bCs/>
          <w:sz w:val="24"/>
          <w:szCs w:val="24"/>
        </w:rPr>
        <w:t>Video 9 – Discharge by Performance, Breach, and Frustration</w:t>
      </w:r>
    </w:p>
    <w:p w14:paraId="422E6488" w14:textId="77777777" w:rsidR="009A7E63" w:rsidRDefault="00CD1807" w:rsidP="00F44DA4">
      <w:pPr>
        <w:jc w:val="both"/>
        <w:rPr>
          <w:rFonts w:ascii="Times New Roman" w:hAnsi="Times New Roman" w:cs="Times New Roman"/>
          <w:sz w:val="24"/>
          <w:szCs w:val="24"/>
        </w:rPr>
      </w:pPr>
      <w:r w:rsidRPr="00CD1807">
        <w:rPr>
          <w:rFonts w:ascii="Times New Roman" w:hAnsi="Times New Roman" w:cs="Times New Roman"/>
          <w:sz w:val="24"/>
          <w:szCs w:val="24"/>
        </w:rPr>
        <w:t>This video explains the three primary ways a contract can be brought to an end. You'll learn about discharge by performance</w:t>
      </w:r>
      <w:r>
        <w:rPr>
          <w:rFonts w:ascii="Times New Roman" w:hAnsi="Times New Roman" w:cs="Times New Roman"/>
          <w:sz w:val="24"/>
          <w:szCs w:val="24"/>
        </w:rPr>
        <w:t xml:space="preserve">, </w:t>
      </w:r>
      <w:r w:rsidRPr="00CD1807">
        <w:rPr>
          <w:rFonts w:ascii="Times New Roman" w:hAnsi="Times New Roman" w:cs="Times New Roman"/>
          <w:sz w:val="24"/>
          <w:szCs w:val="24"/>
        </w:rPr>
        <w:t>including the concept of substantial performance</w:t>
      </w:r>
      <w:r>
        <w:rPr>
          <w:rFonts w:ascii="Times New Roman" w:hAnsi="Times New Roman" w:cs="Times New Roman"/>
          <w:sz w:val="24"/>
          <w:szCs w:val="24"/>
        </w:rPr>
        <w:t xml:space="preserve">, </w:t>
      </w:r>
      <w:r w:rsidRPr="00CD1807">
        <w:rPr>
          <w:rFonts w:ascii="Times New Roman" w:hAnsi="Times New Roman" w:cs="Times New Roman"/>
          <w:sz w:val="24"/>
          <w:szCs w:val="24"/>
        </w:rPr>
        <w:t>the different types of breach, and the narrow doctrine of frustration</w:t>
      </w:r>
      <w:r>
        <w:rPr>
          <w:rFonts w:ascii="Times New Roman" w:hAnsi="Times New Roman" w:cs="Times New Roman"/>
          <w:sz w:val="24"/>
          <w:szCs w:val="24"/>
        </w:rPr>
        <w:t>,</w:t>
      </w:r>
      <w:r w:rsidRPr="00CD1807">
        <w:rPr>
          <w:rFonts w:ascii="Times New Roman" w:hAnsi="Times New Roman" w:cs="Times New Roman"/>
          <w:sz w:val="24"/>
          <w:szCs w:val="24"/>
        </w:rPr>
        <w:t xml:space="preserve"> which applies when unforeseen events make performance impossible.</w:t>
      </w:r>
    </w:p>
    <w:p w14:paraId="71490A4D" w14:textId="6E3A0067" w:rsidR="00F44DA4" w:rsidRPr="00F44DA4" w:rsidRDefault="00F44DA4" w:rsidP="00F44DA4">
      <w:pPr>
        <w:jc w:val="both"/>
        <w:rPr>
          <w:rFonts w:ascii="Times New Roman" w:hAnsi="Times New Roman" w:cs="Times New Roman"/>
          <w:sz w:val="24"/>
          <w:szCs w:val="24"/>
        </w:rPr>
      </w:pPr>
      <w:r w:rsidRPr="00F44DA4">
        <w:rPr>
          <w:rFonts w:ascii="Times New Roman" w:hAnsi="Times New Roman" w:cs="Times New Roman"/>
          <w:sz w:val="24"/>
          <w:szCs w:val="24"/>
        </w:rPr>
        <w:t>Key areas covered</w:t>
      </w:r>
    </w:p>
    <w:p w14:paraId="695A6CF1" w14:textId="1C28533E" w:rsidR="00F44DA4" w:rsidRPr="00F44DA4" w:rsidRDefault="00F44DA4" w:rsidP="00F44DA4">
      <w:pPr>
        <w:pStyle w:val="ListParagraph"/>
        <w:numPr>
          <w:ilvl w:val="0"/>
          <w:numId w:val="27"/>
        </w:numPr>
        <w:jc w:val="both"/>
        <w:rPr>
          <w:rFonts w:ascii="Times New Roman" w:hAnsi="Times New Roman" w:cs="Times New Roman"/>
          <w:sz w:val="24"/>
          <w:szCs w:val="24"/>
        </w:rPr>
      </w:pPr>
      <w:r w:rsidRPr="00F44DA4">
        <w:rPr>
          <w:rFonts w:ascii="Times New Roman" w:hAnsi="Times New Roman" w:cs="Times New Roman"/>
          <w:sz w:val="24"/>
          <w:szCs w:val="24"/>
        </w:rPr>
        <w:t>Discharge by performance</w:t>
      </w:r>
    </w:p>
    <w:p w14:paraId="50E816DE" w14:textId="7228A3FF" w:rsidR="00F44DA4" w:rsidRPr="00F44DA4" w:rsidRDefault="00F44DA4" w:rsidP="00F44DA4">
      <w:pPr>
        <w:pStyle w:val="ListParagraph"/>
        <w:numPr>
          <w:ilvl w:val="0"/>
          <w:numId w:val="27"/>
        </w:numPr>
        <w:jc w:val="both"/>
        <w:rPr>
          <w:rFonts w:ascii="Times New Roman" w:hAnsi="Times New Roman" w:cs="Times New Roman"/>
          <w:sz w:val="24"/>
          <w:szCs w:val="24"/>
        </w:rPr>
      </w:pPr>
      <w:r w:rsidRPr="00F44DA4">
        <w:rPr>
          <w:rFonts w:ascii="Times New Roman" w:hAnsi="Times New Roman" w:cs="Times New Roman"/>
          <w:sz w:val="24"/>
          <w:szCs w:val="24"/>
        </w:rPr>
        <w:t>Types of breach</w:t>
      </w:r>
    </w:p>
    <w:p w14:paraId="1B8F5BCD" w14:textId="09D95899" w:rsidR="00F44DA4" w:rsidRPr="00F44DA4" w:rsidRDefault="00F44DA4" w:rsidP="00F44DA4">
      <w:pPr>
        <w:pStyle w:val="ListParagraph"/>
        <w:numPr>
          <w:ilvl w:val="0"/>
          <w:numId w:val="27"/>
        </w:numPr>
        <w:jc w:val="both"/>
        <w:rPr>
          <w:rFonts w:ascii="Times New Roman" w:hAnsi="Times New Roman" w:cs="Times New Roman"/>
          <w:sz w:val="24"/>
          <w:szCs w:val="24"/>
        </w:rPr>
      </w:pPr>
      <w:r w:rsidRPr="00F44DA4">
        <w:rPr>
          <w:rFonts w:ascii="Times New Roman" w:hAnsi="Times New Roman" w:cs="Times New Roman"/>
          <w:sz w:val="24"/>
          <w:szCs w:val="24"/>
        </w:rPr>
        <w:t>Anticipatory breach</w:t>
      </w:r>
    </w:p>
    <w:p w14:paraId="65C18463" w14:textId="77777777" w:rsidR="00F44DA4" w:rsidRPr="00F44DA4" w:rsidRDefault="00F44DA4" w:rsidP="00F44DA4">
      <w:pPr>
        <w:pStyle w:val="ListParagraph"/>
        <w:numPr>
          <w:ilvl w:val="0"/>
          <w:numId w:val="27"/>
        </w:numPr>
        <w:jc w:val="both"/>
        <w:rPr>
          <w:rFonts w:ascii="Times New Roman" w:hAnsi="Times New Roman" w:cs="Times New Roman"/>
          <w:sz w:val="24"/>
          <w:szCs w:val="24"/>
        </w:rPr>
      </w:pPr>
      <w:r w:rsidRPr="00F44DA4">
        <w:rPr>
          <w:rFonts w:ascii="Times New Roman" w:hAnsi="Times New Roman" w:cs="Times New Roman"/>
          <w:sz w:val="24"/>
          <w:szCs w:val="24"/>
        </w:rPr>
        <w:t>Doctrine of frustration</w:t>
      </w:r>
    </w:p>
    <w:p w14:paraId="4C00BDA7" w14:textId="77777777" w:rsidR="00F44DA4" w:rsidRPr="00F44DA4" w:rsidRDefault="00F44DA4" w:rsidP="00F44DA4">
      <w:pPr>
        <w:jc w:val="both"/>
        <w:rPr>
          <w:rFonts w:ascii="Times New Roman" w:hAnsi="Times New Roman" w:cs="Times New Roman"/>
          <w:sz w:val="24"/>
          <w:szCs w:val="24"/>
        </w:rPr>
      </w:pPr>
    </w:p>
    <w:p w14:paraId="53789AE4" w14:textId="77777777" w:rsidR="00F44DA4" w:rsidRPr="00F44DA4" w:rsidRDefault="00F44DA4" w:rsidP="00F44DA4">
      <w:pPr>
        <w:jc w:val="both"/>
        <w:rPr>
          <w:rFonts w:ascii="Times New Roman" w:hAnsi="Times New Roman" w:cs="Times New Roman"/>
          <w:b/>
          <w:bCs/>
          <w:sz w:val="24"/>
          <w:szCs w:val="24"/>
        </w:rPr>
      </w:pPr>
      <w:r w:rsidRPr="00F44DA4">
        <w:rPr>
          <w:rFonts w:ascii="Times New Roman" w:hAnsi="Times New Roman" w:cs="Times New Roman"/>
          <w:b/>
          <w:bCs/>
          <w:sz w:val="24"/>
          <w:szCs w:val="24"/>
        </w:rPr>
        <w:t>Video 10 – Restitution and Unjust Enrichment</w:t>
      </w:r>
    </w:p>
    <w:p w14:paraId="0092ADAC" w14:textId="77777777" w:rsidR="009A7E63" w:rsidRDefault="009A7E63" w:rsidP="00F44DA4">
      <w:pPr>
        <w:jc w:val="both"/>
        <w:rPr>
          <w:rFonts w:ascii="Times New Roman" w:hAnsi="Times New Roman" w:cs="Times New Roman"/>
          <w:sz w:val="24"/>
          <w:szCs w:val="24"/>
        </w:rPr>
      </w:pPr>
      <w:r w:rsidRPr="009A7E63">
        <w:rPr>
          <w:rFonts w:ascii="Times New Roman" w:hAnsi="Times New Roman" w:cs="Times New Roman"/>
          <w:sz w:val="24"/>
          <w:szCs w:val="24"/>
        </w:rPr>
        <w:t xml:space="preserve">This video introduces the independent body of law known as restitution, which aims to prevent unjust enrichment. You'll learn the core elements of an unjust enrichment claim, the remedies of quantum meruit and quantum </w:t>
      </w:r>
      <w:proofErr w:type="spellStart"/>
      <w:r w:rsidRPr="009A7E63">
        <w:rPr>
          <w:rFonts w:ascii="Times New Roman" w:hAnsi="Times New Roman" w:cs="Times New Roman"/>
          <w:sz w:val="24"/>
          <w:szCs w:val="24"/>
        </w:rPr>
        <w:t>valebant</w:t>
      </w:r>
      <w:proofErr w:type="spellEnd"/>
      <w:r w:rsidRPr="009A7E63">
        <w:rPr>
          <w:rFonts w:ascii="Times New Roman" w:hAnsi="Times New Roman" w:cs="Times New Roman"/>
          <w:sz w:val="24"/>
          <w:szCs w:val="24"/>
        </w:rPr>
        <w:t>, and how these principles apply after a contract is terminated for breach or frustrated.</w:t>
      </w:r>
    </w:p>
    <w:p w14:paraId="0E442A2F" w14:textId="2848813C" w:rsidR="00F44DA4" w:rsidRPr="00F44DA4" w:rsidRDefault="00F44DA4" w:rsidP="00F44DA4">
      <w:pPr>
        <w:jc w:val="both"/>
        <w:rPr>
          <w:rFonts w:ascii="Times New Roman" w:hAnsi="Times New Roman" w:cs="Times New Roman"/>
          <w:sz w:val="24"/>
          <w:szCs w:val="24"/>
        </w:rPr>
      </w:pPr>
      <w:r w:rsidRPr="00F44DA4">
        <w:rPr>
          <w:rFonts w:ascii="Times New Roman" w:hAnsi="Times New Roman" w:cs="Times New Roman"/>
          <w:sz w:val="24"/>
          <w:szCs w:val="24"/>
        </w:rPr>
        <w:t>Key areas covered</w:t>
      </w:r>
    </w:p>
    <w:p w14:paraId="3DF75CA7" w14:textId="1BC5083B" w:rsidR="00F44DA4" w:rsidRPr="00F44DA4" w:rsidRDefault="00F44DA4" w:rsidP="00F44DA4">
      <w:pPr>
        <w:pStyle w:val="ListParagraph"/>
        <w:numPr>
          <w:ilvl w:val="0"/>
          <w:numId w:val="26"/>
        </w:numPr>
        <w:jc w:val="both"/>
        <w:rPr>
          <w:rFonts w:ascii="Times New Roman" w:hAnsi="Times New Roman" w:cs="Times New Roman"/>
          <w:sz w:val="24"/>
          <w:szCs w:val="24"/>
        </w:rPr>
      </w:pPr>
      <w:r w:rsidRPr="00F44DA4">
        <w:rPr>
          <w:rFonts w:ascii="Times New Roman" w:hAnsi="Times New Roman" w:cs="Times New Roman"/>
          <w:sz w:val="24"/>
          <w:szCs w:val="24"/>
        </w:rPr>
        <w:t>Elements of unjust enrichment</w:t>
      </w:r>
    </w:p>
    <w:p w14:paraId="7E77493A" w14:textId="390B79F5" w:rsidR="00F44DA4" w:rsidRPr="00F44DA4" w:rsidRDefault="00F44DA4" w:rsidP="00F44DA4">
      <w:pPr>
        <w:pStyle w:val="ListParagraph"/>
        <w:numPr>
          <w:ilvl w:val="0"/>
          <w:numId w:val="26"/>
        </w:numPr>
        <w:jc w:val="both"/>
        <w:rPr>
          <w:rFonts w:ascii="Times New Roman" w:hAnsi="Times New Roman" w:cs="Times New Roman"/>
          <w:sz w:val="24"/>
          <w:szCs w:val="24"/>
        </w:rPr>
      </w:pPr>
      <w:r w:rsidRPr="00F44DA4">
        <w:rPr>
          <w:rFonts w:ascii="Times New Roman" w:hAnsi="Times New Roman" w:cs="Times New Roman"/>
          <w:sz w:val="24"/>
          <w:szCs w:val="24"/>
        </w:rPr>
        <w:t>Quantum meruit claims</w:t>
      </w:r>
    </w:p>
    <w:p w14:paraId="7CE5F785" w14:textId="5B893036" w:rsidR="00F44DA4" w:rsidRPr="00F44DA4" w:rsidRDefault="00F44DA4" w:rsidP="00F44DA4">
      <w:pPr>
        <w:pStyle w:val="ListParagraph"/>
        <w:numPr>
          <w:ilvl w:val="0"/>
          <w:numId w:val="26"/>
        </w:numPr>
        <w:jc w:val="both"/>
        <w:rPr>
          <w:rFonts w:ascii="Times New Roman" w:hAnsi="Times New Roman" w:cs="Times New Roman"/>
          <w:sz w:val="24"/>
          <w:szCs w:val="24"/>
        </w:rPr>
      </w:pPr>
      <w:r w:rsidRPr="00F44DA4">
        <w:rPr>
          <w:rFonts w:ascii="Times New Roman" w:hAnsi="Times New Roman" w:cs="Times New Roman"/>
          <w:sz w:val="24"/>
          <w:szCs w:val="24"/>
        </w:rPr>
        <w:t>Restitution after breach</w:t>
      </w:r>
    </w:p>
    <w:p w14:paraId="1D55A074" w14:textId="77777777" w:rsidR="00F44DA4" w:rsidRPr="00F44DA4" w:rsidRDefault="00F44DA4" w:rsidP="00F44DA4">
      <w:pPr>
        <w:pStyle w:val="ListParagraph"/>
        <w:numPr>
          <w:ilvl w:val="0"/>
          <w:numId w:val="26"/>
        </w:numPr>
        <w:jc w:val="both"/>
        <w:rPr>
          <w:rFonts w:ascii="Times New Roman" w:hAnsi="Times New Roman" w:cs="Times New Roman"/>
          <w:sz w:val="24"/>
          <w:szCs w:val="24"/>
        </w:rPr>
      </w:pPr>
      <w:r w:rsidRPr="00F44DA4">
        <w:rPr>
          <w:rFonts w:ascii="Times New Roman" w:hAnsi="Times New Roman" w:cs="Times New Roman"/>
          <w:sz w:val="24"/>
          <w:szCs w:val="24"/>
        </w:rPr>
        <w:t>Restitution after frustration</w:t>
      </w:r>
    </w:p>
    <w:p w14:paraId="78F954C9" w14:textId="77777777" w:rsidR="00F44DA4" w:rsidRPr="00F44DA4" w:rsidRDefault="00F44DA4" w:rsidP="00F44DA4">
      <w:pPr>
        <w:jc w:val="both"/>
        <w:rPr>
          <w:rFonts w:ascii="Times New Roman" w:hAnsi="Times New Roman" w:cs="Times New Roman"/>
          <w:sz w:val="24"/>
          <w:szCs w:val="24"/>
        </w:rPr>
      </w:pPr>
    </w:p>
    <w:p w14:paraId="10368A46" w14:textId="77777777" w:rsidR="00F44DA4" w:rsidRPr="00F44DA4" w:rsidRDefault="00F44DA4" w:rsidP="00F44DA4">
      <w:pPr>
        <w:jc w:val="both"/>
        <w:rPr>
          <w:rFonts w:ascii="Times New Roman" w:hAnsi="Times New Roman" w:cs="Times New Roman"/>
          <w:b/>
          <w:bCs/>
          <w:sz w:val="24"/>
          <w:szCs w:val="24"/>
        </w:rPr>
      </w:pPr>
      <w:r w:rsidRPr="00F44DA4">
        <w:rPr>
          <w:rFonts w:ascii="Times New Roman" w:hAnsi="Times New Roman" w:cs="Times New Roman"/>
          <w:b/>
          <w:bCs/>
          <w:sz w:val="24"/>
          <w:szCs w:val="24"/>
        </w:rPr>
        <w:t>Video 11 – Damages and Mitigation</w:t>
      </w:r>
    </w:p>
    <w:p w14:paraId="305D3CA8" w14:textId="77777777" w:rsidR="009A7E63" w:rsidRDefault="009A7E63" w:rsidP="00F44DA4">
      <w:pPr>
        <w:jc w:val="both"/>
        <w:rPr>
          <w:rFonts w:ascii="Times New Roman" w:hAnsi="Times New Roman" w:cs="Times New Roman"/>
          <w:sz w:val="24"/>
          <w:szCs w:val="24"/>
        </w:rPr>
      </w:pPr>
      <w:r w:rsidRPr="009A7E63">
        <w:rPr>
          <w:rFonts w:ascii="Times New Roman" w:hAnsi="Times New Roman" w:cs="Times New Roman"/>
          <w:sz w:val="24"/>
          <w:szCs w:val="24"/>
        </w:rPr>
        <w:t>This video provides a detailed analysis of the primary remedy for breach of contract: damages. You'll understand the compensatory principle, the distinctions between expectation, reliance, and restitution interests, the rules on remoteness of loss, and the critical duty placed on the innocent party to mitigate their losses.</w:t>
      </w:r>
    </w:p>
    <w:p w14:paraId="5A30CBC7" w14:textId="17EE69CB" w:rsidR="00F44DA4" w:rsidRPr="00F44DA4" w:rsidRDefault="00F44DA4" w:rsidP="00F44DA4">
      <w:pPr>
        <w:jc w:val="both"/>
        <w:rPr>
          <w:rFonts w:ascii="Times New Roman" w:hAnsi="Times New Roman" w:cs="Times New Roman"/>
          <w:sz w:val="24"/>
          <w:szCs w:val="24"/>
        </w:rPr>
      </w:pPr>
      <w:r w:rsidRPr="00F44DA4">
        <w:rPr>
          <w:rFonts w:ascii="Times New Roman" w:hAnsi="Times New Roman" w:cs="Times New Roman"/>
          <w:sz w:val="24"/>
          <w:szCs w:val="24"/>
        </w:rPr>
        <w:t>Key areas covered</w:t>
      </w:r>
    </w:p>
    <w:p w14:paraId="49C993AB" w14:textId="5EA0B291" w:rsidR="00F44DA4" w:rsidRPr="00F44DA4" w:rsidRDefault="00F44DA4" w:rsidP="00F44DA4">
      <w:pPr>
        <w:pStyle w:val="ListParagraph"/>
        <w:numPr>
          <w:ilvl w:val="0"/>
          <w:numId w:val="25"/>
        </w:numPr>
        <w:jc w:val="both"/>
        <w:rPr>
          <w:rFonts w:ascii="Times New Roman" w:hAnsi="Times New Roman" w:cs="Times New Roman"/>
          <w:sz w:val="24"/>
          <w:szCs w:val="24"/>
        </w:rPr>
      </w:pPr>
      <w:r w:rsidRPr="00F44DA4">
        <w:rPr>
          <w:rFonts w:ascii="Times New Roman" w:hAnsi="Times New Roman" w:cs="Times New Roman"/>
          <w:sz w:val="24"/>
          <w:szCs w:val="24"/>
        </w:rPr>
        <w:t>Expectation, reliance, and restitution</w:t>
      </w:r>
    </w:p>
    <w:p w14:paraId="1B0FB900" w14:textId="0CACDCD6" w:rsidR="00F44DA4" w:rsidRPr="00F44DA4" w:rsidRDefault="00F44DA4" w:rsidP="00F44DA4">
      <w:pPr>
        <w:pStyle w:val="ListParagraph"/>
        <w:numPr>
          <w:ilvl w:val="0"/>
          <w:numId w:val="25"/>
        </w:numPr>
        <w:jc w:val="both"/>
        <w:rPr>
          <w:rFonts w:ascii="Times New Roman" w:hAnsi="Times New Roman" w:cs="Times New Roman"/>
          <w:sz w:val="24"/>
          <w:szCs w:val="24"/>
        </w:rPr>
      </w:pPr>
      <w:r w:rsidRPr="00F44DA4">
        <w:rPr>
          <w:rFonts w:ascii="Times New Roman" w:hAnsi="Times New Roman" w:cs="Times New Roman"/>
          <w:sz w:val="24"/>
          <w:szCs w:val="24"/>
        </w:rPr>
        <w:lastRenderedPageBreak/>
        <w:t>Remoteness of damage</w:t>
      </w:r>
    </w:p>
    <w:p w14:paraId="34B9B0CB" w14:textId="56917BE0" w:rsidR="00F44DA4" w:rsidRPr="00F44DA4" w:rsidRDefault="00F44DA4" w:rsidP="00F44DA4">
      <w:pPr>
        <w:pStyle w:val="ListParagraph"/>
        <w:numPr>
          <w:ilvl w:val="0"/>
          <w:numId w:val="25"/>
        </w:numPr>
        <w:jc w:val="both"/>
        <w:rPr>
          <w:rFonts w:ascii="Times New Roman" w:hAnsi="Times New Roman" w:cs="Times New Roman"/>
          <w:sz w:val="24"/>
          <w:szCs w:val="24"/>
        </w:rPr>
      </w:pPr>
      <w:r w:rsidRPr="00F44DA4">
        <w:rPr>
          <w:rFonts w:ascii="Times New Roman" w:hAnsi="Times New Roman" w:cs="Times New Roman"/>
          <w:sz w:val="24"/>
          <w:szCs w:val="24"/>
        </w:rPr>
        <w:t>Duty to mitigate</w:t>
      </w:r>
    </w:p>
    <w:p w14:paraId="52C02A1F" w14:textId="77777777" w:rsidR="00F44DA4" w:rsidRPr="00F44DA4" w:rsidRDefault="00F44DA4" w:rsidP="00F44DA4">
      <w:pPr>
        <w:pStyle w:val="ListParagraph"/>
        <w:numPr>
          <w:ilvl w:val="0"/>
          <w:numId w:val="25"/>
        </w:numPr>
        <w:jc w:val="both"/>
        <w:rPr>
          <w:rFonts w:ascii="Times New Roman" w:hAnsi="Times New Roman" w:cs="Times New Roman"/>
          <w:sz w:val="24"/>
          <w:szCs w:val="24"/>
        </w:rPr>
      </w:pPr>
      <w:r w:rsidRPr="00F44DA4">
        <w:rPr>
          <w:rFonts w:ascii="Times New Roman" w:hAnsi="Times New Roman" w:cs="Times New Roman"/>
          <w:sz w:val="24"/>
          <w:szCs w:val="24"/>
        </w:rPr>
        <w:t>Liquidated damages vs. penalties</w:t>
      </w:r>
    </w:p>
    <w:p w14:paraId="311CC0F4" w14:textId="77777777" w:rsidR="00F44DA4" w:rsidRPr="00F44DA4" w:rsidRDefault="00F44DA4" w:rsidP="00F44DA4">
      <w:pPr>
        <w:jc w:val="both"/>
        <w:rPr>
          <w:rFonts w:ascii="Times New Roman" w:hAnsi="Times New Roman" w:cs="Times New Roman"/>
          <w:sz w:val="24"/>
          <w:szCs w:val="24"/>
        </w:rPr>
      </w:pPr>
    </w:p>
    <w:p w14:paraId="37231460" w14:textId="77777777" w:rsidR="00F44DA4" w:rsidRPr="00F44DA4" w:rsidRDefault="00F44DA4" w:rsidP="00F44DA4">
      <w:pPr>
        <w:jc w:val="both"/>
        <w:rPr>
          <w:rFonts w:ascii="Times New Roman" w:hAnsi="Times New Roman" w:cs="Times New Roman"/>
          <w:b/>
          <w:bCs/>
          <w:sz w:val="24"/>
          <w:szCs w:val="24"/>
        </w:rPr>
      </w:pPr>
      <w:r w:rsidRPr="00F44DA4">
        <w:rPr>
          <w:rFonts w:ascii="Times New Roman" w:hAnsi="Times New Roman" w:cs="Times New Roman"/>
          <w:b/>
          <w:bCs/>
          <w:sz w:val="24"/>
          <w:szCs w:val="24"/>
        </w:rPr>
        <w:t>Video 12 – Specific Remedies, Indemnities, and Guarantees</w:t>
      </w:r>
    </w:p>
    <w:p w14:paraId="516E6E0F" w14:textId="77777777" w:rsidR="009A7E63" w:rsidRDefault="009A7E63" w:rsidP="00F44DA4">
      <w:pPr>
        <w:jc w:val="both"/>
        <w:rPr>
          <w:rFonts w:ascii="Times New Roman" w:hAnsi="Times New Roman" w:cs="Times New Roman"/>
          <w:sz w:val="24"/>
          <w:szCs w:val="24"/>
        </w:rPr>
      </w:pPr>
      <w:r w:rsidRPr="009A7E63">
        <w:rPr>
          <w:rFonts w:ascii="Times New Roman" w:hAnsi="Times New Roman" w:cs="Times New Roman"/>
          <w:sz w:val="24"/>
          <w:szCs w:val="24"/>
        </w:rPr>
        <w:t>This video explores remedies beyond monetary damages, including the equitable remedies of specific performance and injunctions. You'll also learn about important contractual security devices, focusing on the crucial legal differences between indemnities and guarantees and the rights of guarantors.</w:t>
      </w:r>
    </w:p>
    <w:p w14:paraId="5D7DBC2F" w14:textId="70ADAA62" w:rsidR="00F44DA4" w:rsidRPr="00F44DA4" w:rsidRDefault="00F44DA4" w:rsidP="00F44DA4">
      <w:pPr>
        <w:jc w:val="both"/>
        <w:rPr>
          <w:rFonts w:ascii="Times New Roman" w:hAnsi="Times New Roman" w:cs="Times New Roman"/>
          <w:sz w:val="24"/>
          <w:szCs w:val="24"/>
        </w:rPr>
      </w:pPr>
      <w:r w:rsidRPr="00F44DA4">
        <w:rPr>
          <w:rFonts w:ascii="Times New Roman" w:hAnsi="Times New Roman" w:cs="Times New Roman"/>
          <w:sz w:val="24"/>
          <w:szCs w:val="24"/>
        </w:rPr>
        <w:t>Key areas covered</w:t>
      </w:r>
    </w:p>
    <w:p w14:paraId="68DF8379" w14:textId="48B6B075" w:rsidR="00F44DA4" w:rsidRPr="00F44DA4" w:rsidRDefault="00F44DA4" w:rsidP="00F44DA4">
      <w:pPr>
        <w:pStyle w:val="ListParagraph"/>
        <w:numPr>
          <w:ilvl w:val="0"/>
          <w:numId w:val="24"/>
        </w:numPr>
        <w:jc w:val="both"/>
        <w:rPr>
          <w:rFonts w:ascii="Times New Roman" w:hAnsi="Times New Roman" w:cs="Times New Roman"/>
          <w:sz w:val="24"/>
          <w:szCs w:val="24"/>
        </w:rPr>
      </w:pPr>
      <w:r w:rsidRPr="00F44DA4">
        <w:rPr>
          <w:rFonts w:ascii="Times New Roman" w:hAnsi="Times New Roman" w:cs="Times New Roman"/>
          <w:sz w:val="24"/>
          <w:szCs w:val="24"/>
        </w:rPr>
        <w:t>Specific performance</w:t>
      </w:r>
    </w:p>
    <w:p w14:paraId="2B5E5A2F" w14:textId="48859BCC" w:rsidR="00F44DA4" w:rsidRPr="00F44DA4" w:rsidRDefault="00F44DA4" w:rsidP="00F44DA4">
      <w:pPr>
        <w:pStyle w:val="ListParagraph"/>
        <w:numPr>
          <w:ilvl w:val="0"/>
          <w:numId w:val="24"/>
        </w:numPr>
        <w:jc w:val="both"/>
        <w:rPr>
          <w:rFonts w:ascii="Times New Roman" w:hAnsi="Times New Roman" w:cs="Times New Roman"/>
          <w:sz w:val="24"/>
          <w:szCs w:val="24"/>
        </w:rPr>
      </w:pPr>
      <w:r w:rsidRPr="00F44DA4">
        <w:rPr>
          <w:rFonts w:ascii="Times New Roman" w:hAnsi="Times New Roman" w:cs="Times New Roman"/>
          <w:sz w:val="24"/>
          <w:szCs w:val="24"/>
        </w:rPr>
        <w:t>Injunctions</w:t>
      </w:r>
    </w:p>
    <w:p w14:paraId="3BC37A7D" w14:textId="6942F388" w:rsidR="00F44DA4" w:rsidRPr="00F44DA4" w:rsidRDefault="00F44DA4" w:rsidP="00F44DA4">
      <w:pPr>
        <w:pStyle w:val="ListParagraph"/>
        <w:numPr>
          <w:ilvl w:val="0"/>
          <w:numId w:val="24"/>
        </w:numPr>
        <w:jc w:val="both"/>
        <w:rPr>
          <w:rFonts w:ascii="Times New Roman" w:hAnsi="Times New Roman" w:cs="Times New Roman"/>
          <w:sz w:val="24"/>
          <w:szCs w:val="24"/>
        </w:rPr>
      </w:pPr>
      <w:r w:rsidRPr="00F44DA4">
        <w:rPr>
          <w:rFonts w:ascii="Times New Roman" w:hAnsi="Times New Roman" w:cs="Times New Roman"/>
          <w:sz w:val="24"/>
          <w:szCs w:val="24"/>
        </w:rPr>
        <w:t>Indemnities vs. guarantees</w:t>
      </w:r>
    </w:p>
    <w:p w14:paraId="553EE779" w14:textId="77777777" w:rsidR="00F44DA4" w:rsidRPr="00F44DA4" w:rsidRDefault="00F44DA4" w:rsidP="00F44DA4">
      <w:pPr>
        <w:pStyle w:val="ListParagraph"/>
        <w:numPr>
          <w:ilvl w:val="0"/>
          <w:numId w:val="24"/>
        </w:numPr>
        <w:jc w:val="both"/>
        <w:rPr>
          <w:rFonts w:ascii="Times New Roman" w:hAnsi="Times New Roman" w:cs="Times New Roman"/>
          <w:sz w:val="24"/>
          <w:szCs w:val="24"/>
        </w:rPr>
      </w:pPr>
      <w:r w:rsidRPr="00F44DA4">
        <w:rPr>
          <w:rFonts w:ascii="Times New Roman" w:hAnsi="Times New Roman" w:cs="Times New Roman"/>
          <w:sz w:val="24"/>
          <w:szCs w:val="24"/>
        </w:rPr>
        <w:t>Guarantor's rights</w:t>
      </w:r>
    </w:p>
    <w:p w14:paraId="6F7477B8" w14:textId="673CB5CB" w:rsidR="00A15582" w:rsidRPr="000F188B" w:rsidRDefault="00A15582" w:rsidP="00F44DA4">
      <w:pPr>
        <w:jc w:val="both"/>
        <w:rPr>
          <w:rFonts w:ascii="Times New Roman" w:hAnsi="Times New Roman" w:cs="Times New Roman"/>
          <w:sz w:val="24"/>
          <w:szCs w:val="24"/>
        </w:rPr>
      </w:pPr>
    </w:p>
    <w:sectPr w:rsidR="00A15582" w:rsidRPr="000F18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EF1"/>
    <w:multiLevelType w:val="hybridMultilevel"/>
    <w:tmpl w:val="75DE51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A42474D"/>
    <w:multiLevelType w:val="hybridMultilevel"/>
    <w:tmpl w:val="2FC053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B2C46B6"/>
    <w:multiLevelType w:val="hybridMultilevel"/>
    <w:tmpl w:val="C944BE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5DE2508"/>
    <w:multiLevelType w:val="hybridMultilevel"/>
    <w:tmpl w:val="A86A67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8041198"/>
    <w:multiLevelType w:val="hybridMultilevel"/>
    <w:tmpl w:val="292A9A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471F93"/>
    <w:multiLevelType w:val="hybridMultilevel"/>
    <w:tmpl w:val="1F9AC0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D8A015E"/>
    <w:multiLevelType w:val="hybridMultilevel"/>
    <w:tmpl w:val="4088EA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EBF471E"/>
    <w:multiLevelType w:val="hybridMultilevel"/>
    <w:tmpl w:val="3DA202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0FC18D2"/>
    <w:multiLevelType w:val="hybridMultilevel"/>
    <w:tmpl w:val="BA3C05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3A23FB0"/>
    <w:multiLevelType w:val="hybridMultilevel"/>
    <w:tmpl w:val="25C415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D665F00"/>
    <w:multiLevelType w:val="hybridMultilevel"/>
    <w:tmpl w:val="9F40EA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E094F51"/>
    <w:multiLevelType w:val="hybridMultilevel"/>
    <w:tmpl w:val="373ED6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6C13E09"/>
    <w:multiLevelType w:val="hybridMultilevel"/>
    <w:tmpl w:val="4E7E98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AD83FDC"/>
    <w:multiLevelType w:val="hybridMultilevel"/>
    <w:tmpl w:val="56B032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1121B82"/>
    <w:multiLevelType w:val="hybridMultilevel"/>
    <w:tmpl w:val="0310E8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21C6539"/>
    <w:multiLevelType w:val="hybridMultilevel"/>
    <w:tmpl w:val="FDDA5C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472119F"/>
    <w:multiLevelType w:val="hybridMultilevel"/>
    <w:tmpl w:val="5DD050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BE25125"/>
    <w:multiLevelType w:val="hybridMultilevel"/>
    <w:tmpl w:val="8E1C71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D0D3C41"/>
    <w:multiLevelType w:val="hybridMultilevel"/>
    <w:tmpl w:val="9D009F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2CA5F88"/>
    <w:multiLevelType w:val="hybridMultilevel"/>
    <w:tmpl w:val="7AF6BB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63D2233"/>
    <w:multiLevelType w:val="hybridMultilevel"/>
    <w:tmpl w:val="4C6AEB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B5467E9"/>
    <w:multiLevelType w:val="hybridMultilevel"/>
    <w:tmpl w:val="2A9E54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C0F7432"/>
    <w:multiLevelType w:val="hybridMultilevel"/>
    <w:tmpl w:val="00E4AC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C38153D"/>
    <w:multiLevelType w:val="hybridMultilevel"/>
    <w:tmpl w:val="05BC72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EF355F8"/>
    <w:multiLevelType w:val="hybridMultilevel"/>
    <w:tmpl w:val="9F88CF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F4B0459"/>
    <w:multiLevelType w:val="hybridMultilevel"/>
    <w:tmpl w:val="D6E6B6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0D1781E"/>
    <w:multiLevelType w:val="hybridMultilevel"/>
    <w:tmpl w:val="AEA805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36E4517"/>
    <w:multiLevelType w:val="hybridMultilevel"/>
    <w:tmpl w:val="8E3400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8880940"/>
    <w:multiLevelType w:val="hybridMultilevel"/>
    <w:tmpl w:val="02909A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FAA0E81"/>
    <w:multiLevelType w:val="hybridMultilevel"/>
    <w:tmpl w:val="1FAA3C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2395042"/>
    <w:multiLevelType w:val="hybridMultilevel"/>
    <w:tmpl w:val="84F07A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2F867C6"/>
    <w:multiLevelType w:val="hybridMultilevel"/>
    <w:tmpl w:val="DCFC29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6461B47"/>
    <w:multiLevelType w:val="hybridMultilevel"/>
    <w:tmpl w:val="6CFC71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AD04F14"/>
    <w:multiLevelType w:val="hybridMultilevel"/>
    <w:tmpl w:val="F9C0DD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57408083">
    <w:abstractNumId w:val="26"/>
  </w:num>
  <w:num w:numId="2" w16cid:durableId="2060469210">
    <w:abstractNumId w:val="13"/>
  </w:num>
  <w:num w:numId="3" w16cid:durableId="1080054384">
    <w:abstractNumId w:val="20"/>
  </w:num>
  <w:num w:numId="4" w16cid:durableId="864950620">
    <w:abstractNumId w:val="1"/>
  </w:num>
  <w:num w:numId="5" w16cid:durableId="1105927638">
    <w:abstractNumId w:val="16"/>
  </w:num>
  <w:num w:numId="6" w16cid:durableId="752161547">
    <w:abstractNumId w:val="15"/>
  </w:num>
  <w:num w:numId="7" w16cid:durableId="559748058">
    <w:abstractNumId w:val="12"/>
  </w:num>
  <w:num w:numId="8" w16cid:durableId="752164696">
    <w:abstractNumId w:val="10"/>
  </w:num>
  <w:num w:numId="9" w16cid:durableId="2023244279">
    <w:abstractNumId w:val="21"/>
  </w:num>
  <w:num w:numId="10" w16cid:durableId="419378156">
    <w:abstractNumId w:val="7"/>
  </w:num>
  <w:num w:numId="11" w16cid:durableId="1299797602">
    <w:abstractNumId w:val="14"/>
  </w:num>
  <w:num w:numId="12" w16cid:durableId="1177378227">
    <w:abstractNumId w:val="24"/>
  </w:num>
  <w:num w:numId="13" w16cid:durableId="2092852332">
    <w:abstractNumId w:val="18"/>
  </w:num>
  <w:num w:numId="14" w16cid:durableId="569778994">
    <w:abstractNumId w:val="29"/>
  </w:num>
  <w:num w:numId="15" w16cid:durableId="513956773">
    <w:abstractNumId w:val="4"/>
  </w:num>
  <w:num w:numId="16" w16cid:durableId="480922499">
    <w:abstractNumId w:val="5"/>
  </w:num>
  <w:num w:numId="17" w16cid:durableId="1509825355">
    <w:abstractNumId w:val="19"/>
  </w:num>
  <w:num w:numId="18" w16cid:durableId="2103791766">
    <w:abstractNumId w:val="17"/>
  </w:num>
  <w:num w:numId="19" w16cid:durableId="1441342803">
    <w:abstractNumId w:val="6"/>
  </w:num>
  <w:num w:numId="20" w16cid:durableId="787117957">
    <w:abstractNumId w:val="33"/>
  </w:num>
  <w:num w:numId="21" w16cid:durableId="1062872283">
    <w:abstractNumId w:val="11"/>
  </w:num>
  <w:num w:numId="22" w16cid:durableId="1645696748">
    <w:abstractNumId w:val="30"/>
  </w:num>
  <w:num w:numId="23" w16cid:durableId="114838843">
    <w:abstractNumId w:val="3"/>
  </w:num>
  <w:num w:numId="24" w16cid:durableId="2025477349">
    <w:abstractNumId w:val="8"/>
  </w:num>
  <w:num w:numId="25" w16cid:durableId="1686906791">
    <w:abstractNumId w:val="25"/>
  </w:num>
  <w:num w:numId="26" w16cid:durableId="1146629562">
    <w:abstractNumId w:val="31"/>
  </w:num>
  <w:num w:numId="27" w16cid:durableId="2127575270">
    <w:abstractNumId w:val="2"/>
  </w:num>
  <w:num w:numId="28" w16cid:durableId="1834106262">
    <w:abstractNumId w:val="27"/>
  </w:num>
  <w:num w:numId="29" w16cid:durableId="1011182070">
    <w:abstractNumId w:val="23"/>
  </w:num>
  <w:num w:numId="30" w16cid:durableId="970205846">
    <w:abstractNumId w:val="0"/>
  </w:num>
  <w:num w:numId="31" w16cid:durableId="1495994322">
    <w:abstractNumId w:val="9"/>
  </w:num>
  <w:num w:numId="32" w16cid:durableId="987435358">
    <w:abstractNumId w:val="28"/>
  </w:num>
  <w:num w:numId="33" w16cid:durableId="2023314203">
    <w:abstractNumId w:val="32"/>
  </w:num>
  <w:num w:numId="34" w16cid:durableId="3084784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582"/>
    <w:rsid w:val="000F188B"/>
    <w:rsid w:val="003F433F"/>
    <w:rsid w:val="005446D6"/>
    <w:rsid w:val="006C2FC1"/>
    <w:rsid w:val="007466B5"/>
    <w:rsid w:val="009A7E63"/>
    <w:rsid w:val="00A15582"/>
    <w:rsid w:val="00A72064"/>
    <w:rsid w:val="00CD1807"/>
    <w:rsid w:val="00D0537C"/>
    <w:rsid w:val="00F44DA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17385"/>
  <w15:chartTrackingRefBased/>
  <w15:docId w15:val="{75040256-C5C2-4C81-9E18-6E5701FB0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5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5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5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5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5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582"/>
    <w:rPr>
      <w:rFonts w:eastAsiaTheme="majorEastAsia" w:cstheme="majorBidi"/>
      <w:color w:val="272727" w:themeColor="text1" w:themeTint="D8"/>
    </w:rPr>
  </w:style>
  <w:style w:type="paragraph" w:styleId="Title">
    <w:name w:val="Title"/>
    <w:basedOn w:val="Normal"/>
    <w:next w:val="Normal"/>
    <w:link w:val="TitleChar"/>
    <w:uiPriority w:val="10"/>
    <w:qFormat/>
    <w:rsid w:val="00A15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582"/>
    <w:pPr>
      <w:spacing w:before="160"/>
      <w:jc w:val="center"/>
    </w:pPr>
    <w:rPr>
      <w:i/>
      <w:iCs/>
      <w:color w:val="404040" w:themeColor="text1" w:themeTint="BF"/>
    </w:rPr>
  </w:style>
  <w:style w:type="character" w:customStyle="1" w:styleId="QuoteChar">
    <w:name w:val="Quote Char"/>
    <w:basedOn w:val="DefaultParagraphFont"/>
    <w:link w:val="Quote"/>
    <w:uiPriority w:val="29"/>
    <w:rsid w:val="00A15582"/>
    <w:rPr>
      <w:i/>
      <w:iCs/>
      <w:color w:val="404040" w:themeColor="text1" w:themeTint="BF"/>
    </w:rPr>
  </w:style>
  <w:style w:type="paragraph" w:styleId="ListParagraph">
    <w:name w:val="List Paragraph"/>
    <w:basedOn w:val="Normal"/>
    <w:uiPriority w:val="34"/>
    <w:qFormat/>
    <w:rsid w:val="00A15582"/>
    <w:pPr>
      <w:ind w:left="720"/>
      <w:contextualSpacing/>
    </w:pPr>
  </w:style>
  <w:style w:type="character" w:styleId="IntenseEmphasis">
    <w:name w:val="Intense Emphasis"/>
    <w:basedOn w:val="DefaultParagraphFont"/>
    <w:uiPriority w:val="21"/>
    <w:qFormat/>
    <w:rsid w:val="00A15582"/>
    <w:rPr>
      <w:i/>
      <w:iCs/>
      <w:color w:val="2F5496" w:themeColor="accent1" w:themeShade="BF"/>
    </w:rPr>
  </w:style>
  <w:style w:type="paragraph" w:styleId="IntenseQuote">
    <w:name w:val="Intense Quote"/>
    <w:basedOn w:val="Normal"/>
    <w:next w:val="Normal"/>
    <w:link w:val="IntenseQuoteChar"/>
    <w:uiPriority w:val="30"/>
    <w:qFormat/>
    <w:rsid w:val="00A155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582"/>
    <w:rPr>
      <w:i/>
      <w:iCs/>
      <w:color w:val="2F5496" w:themeColor="accent1" w:themeShade="BF"/>
    </w:rPr>
  </w:style>
  <w:style w:type="character" w:styleId="IntenseReference">
    <w:name w:val="Intense Reference"/>
    <w:basedOn w:val="DefaultParagraphFont"/>
    <w:uiPriority w:val="32"/>
    <w:qFormat/>
    <w:rsid w:val="00A155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Kehinde Ajewole</dc:creator>
  <cp:keywords/>
  <dc:description/>
  <cp:lastModifiedBy>Kehinde Ajewole</cp:lastModifiedBy>
  <cp:revision>5</cp:revision>
  <dcterms:created xsi:type="dcterms:W3CDTF">2025-12-30T12:00:00Z</dcterms:created>
  <dcterms:modified xsi:type="dcterms:W3CDTF">2025-12-30T15:24:00Z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1365d491-a1cf-408b-86d7-cc1001aa9e58</vt:lpwstr>
  </property>
</Properties>
</file>