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nnzzljthr9r" w:id="0"/>
      <w:bookmarkEnd w:id="0"/>
      <w:r w:rsidDel="00000000" w:rsidR="00000000" w:rsidRPr="00000000">
        <w:rPr>
          <w:b w:val="1"/>
          <w:bCs w:val="1"/>
          <w:color w:val="000000"/>
          <w:sz w:val="26"/>
          <w:szCs w:val="26"/>
          <w:rtl w:val="0"/>
        </w:rPr>
        <w:t xml:space="preserve">Video 1 - Initial Client Engagement and Police Station Advice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About this video</w:t>
      </w:r>
    </w:p>
    <w:p w:rsidR="00000000" w:rsidDel="00000000" w:rsidP="00000000" w:rsidRDefault="00000000" w:rsidRPr="00000000" w14:paraId="00000003">
      <w:pPr>
        <w:spacing w:after="240" w:before="240" w:lineRule="auto"/>
        <w:rPr/>
      </w:pPr>
      <w:r w:rsidDel="00000000" w:rsidR="00000000" w:rsidRPr="00000000">
        <w:rPr>
          <w:rtl w:val="0"/>
        </w:rPr>
        <w:t xml:space="preserve">This video introduces the foundational stage of a criminal case: advising a client in police custody. It explores how to commence an investigation by gathering facts from the custody record, the police, and the client. We delve into the critical task of advising suspects on their interview options, including the strategic use of a "no comment" approach. It also explains the right to silence and the serious implications of adverse inferences. Finally, we outline the protections for vulnerable suspects to ensure a robust and ethical defence from the very start.</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Key areas covered</w:t>
      </w:r>
    </w:p>
    <w:p w:rsidR="00000000" w:rsidDel="00000000" w:rsidP="00000000" w:rsidRDefault="00000000" w:rsidRPr="00000000" w14:paraId="00000005">
      <w:pPr>
        <w:numPr>
          <w:ilvl w:val="0"/>
          <w:numId w:val="4"/>
        </w:numPr>
        <w:spacing w:after="0" w:before="240" w:lineRule="auto"/>
        <w:ind w:left="720" w:hanging="360"/>
        <w:rPr/>
      </w:pPr>
      <w:r w:rsidDel="00000000" w:rsidR="00000000" w:rsidRPr="00000000">
        <w:rPr>
          <w:rtl w:val="0"/>
        </w:rPr>
        <w:t xml:space="preserve">Commencing the investigation</w:t>
      </w:r>
    </w:p>
    <w:p w:rsidR="00000000" w:rsidDel="00000000" w:rsidP="00000000" w:rsidRDefault="00000000" w:rsidRPr="00000000" w14:paraId="00000006">
      <w:pPr>
        <w:numPr>
          <w:ilvl w:val="0"/>
          <w:numId w:val="4"/>
        </w:numPr>
        <w:spacing w:after="0" w:before="0" w:lineRule="auto"/>
        <w:ind w:left="720" w:hanging="360"/>
        <w:rPr/>
      </w:pPr>
      <w:r w:rsidDel="00000000" w:rsidR="00000000" w:rsidRPr="00000000">
        <w:rPr>
          <w:rtl w:val="0"/>
        </w:rPr>
        <w:t xml:space="preserve">Interview options: Silence vs. Prepared Statement</w:t>
      </w:r>
    </w:p>
    <w:p w:rsidR="00000000" w:rsidDel="00000000" w:rsidP="00000000" w:rsidRDefault="00000000" w:rsidRPr="00000000" w14:paraId="00000007">
      <w:pPr>
        <w:numPr>
          <w:ilvl w:val="0"/>
          <w:numId w:val="4"/>
        </w:numPr>
        <w:spacing w:after="0" w:before="0" w:lineRule="auto"/>
        <w:ind w:left="720" w:hanging="360"/>
        <w:rPr/>
      </w:pPr>
      <w:r w:rsidDel="00000000" w:rsidR="00000000" w:rsidRPr="00000000">
        <w:rPr>
          <w:rtl w:val="0"/>
        </w:rPr>
        <w:t xml:space="preserve">Adverse inferences from silence</w:t>
      </w:r>
    </w:p>
    <w:p w:rsidR="00000000" w:rsidDel="00000000" w:rsidP="00000000" w:rsidRDefault="00000000" w:rsidRPr="00000000" w14:paraId="00000008">
      <w:pPr>
        <w:numPr>
          <w:ilvl w:val="0"/>
          <w:numId w:val="4"/>
        </w:numPr>
        <w:spacing w:after="240" w:before="0" w:lineRule="auto"/>
        <w:ind w:left="720" w:hanging="360"/>
        <w:rPr/>
      </w:pPr>
      <w:r w:rsidDel="00000000" w:rsidR="00000000" w:rsidRPr="00000000">
        <w:rPr>
          <w:rtl w:val="0"/>
        </w:rPr>
        <w:t xml:space="preserve">Representing vulnerable clients and appropriate adults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zc8kle5mq7du" w:id="1"/>
      <w:bookmarkEnd w:id="1"/>
      <w:r w:rsidDel="00000000" w:rsidR="00000000" w:rsidRPr="00000000">
        <w:rPr>
          <w:b w:val="1"/>
          <w:bCs w:val="1"/>
          <w:color w:val="000000"/>
          <w:sz w:val="26"/>
          <w:szCs w:val="26"/>
          <w:rtl w:val="0"/>
        </w:rPr>
        <w:t xml:space="preserve">Video 2 - Identification and Police Interview Procedures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About this video</w:t>
      </w:r>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This video explores the rigorous rules governing eyewitness identification and the conduct of police interviews under PACE. You will understand why identification evidence is fragile and when formal procedures, like video ID, must be held. It examines the rules for fair treatment during questioning and the legal representative’s role in ensuring fairness. The video also covers the ethical boundaries of a solicitor, ensuring you act in the client's best interest without inventing a defence. By the end, you'll know how to guard against unreliable outcomes and protect fundamental suspect rights.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Key areas covered</w:t>
      </w:r>
    </w:p>
    <w:p w:rsidR="00000000" w:rsidDel="00000000" w:rsidP="00000000" w:rsidRDefault="00000000" w:rsidRPr="00000000" w14:paraId="0000000E">
      <w:pPr>
        <w:numPr>
          <w:ilvl w:val="0"/>
          <w:numId w:val="8"/>
        </w:numPr>
        <w:spacing w:after="0" w:before="240" w:lineRule="auto"/>
        <w:ind w:left="720" w:hanging="360"/>
        <w:rPr/>
      </w:pPr>
      <w:r w:rsidDel="00000000" w:rsidR="00000000" w:rsidRPr="00000000">
        <w:rPr>
          <w:rtl w:val="0"/>
        </w:rPr>
        <w:t xml:space="preserve">PACE Code D identification procedures</w:t>
      </w:r>
    </w:p>
    <w:p w:rsidR="00000000" w:rsidDel="00000000" w:rsidP="00000000" w:rsidRDefault="00000000" w:rsidRPr="00000000" w14:paraId="0000000F">
      <w:pPr>
        <w:numPr>
          <w:ilvl w:val="0"/>
          <w:numId w:val="8"/>
        </w:numPr>
        <w:spacing w:after="0" w:before="0" w:lineRule="auto"/>
        <w:ind w:left="720" w:hanging="360"/>
        <w:rPr/>
      </w:pPr>
      <w:r w:rsidDel="00000000" w:rsidR="00000000" w:rsidRPr="00000000">
        <w:rPr>
          <w:rtl w:val="0"/>
        </w:rPr>
        <w:t xml:space="preserve">Types of identification</w:t>
      </w:r>
    </w:p>
    <w:p w:rsidR="00000000" w:rsidDel="00000000" w:rsidP="00000000" w:rsidRDefault="00000000" w:rsidRPr="00000000" w14:paraId="00000010">
      <w:pPr>
        <w:numPr>
          <w:ilvl w:val="0"/>
          <w:numId w:val="8"/>
        </w:numPr>
        <w:spacing w:after="0" w:before="0" w:lineRule="auto"/>
        <w:ind w:left="720" w:hanging="360"/>
        <w:rPr/>
      </w:pPr>
      <w:r w:rsidDel="00000000" w:rsidR="00000000" w:rsidRPr="00000000">
        <w:rPr>
          <w:rtl w:val="0"/>
        </w:rPr>
        <w:t xml:space="preserve">Police interview rules under PACE Code C</w:t>
      </w:r>
    </w:p>
    <w:p w:rsidR="00000000" w:rsidDel="00000000" w:rsidP="00000000" w:rsidRDefault="00000000" w:rsidRPr="00000000" w14:paraId="00000011">
      <w:pPr>
        <w:numPr>
          <w:ilvl w:val="0"/>
          <w:numId w:val="8"/>
        </w:numPr>
        <w:spacing w:after="240" w:before="0" w:lineRule="auto"/>
        <w:ind w:left="720" w:hanging="360"/>
        <w:rPr/>
      </w:pPr>
      <w:r w:rsidDel="00000000" w:rsidR="00000000" w:rsidRPr="00000000">
        <w:rPr>
          <w:rtl w:val="0"/>
        </w:rPr>
        <w:t xml:space="preserve">Ethical boundaries for legal representatives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8trrtzql46gy" w:id="2"/>
      <w:bookmarkEnd w:id="2"/>
      <w:r w:rsidDel="00000000" w:rsidR="00000000" w:rsidRPr="00000000">
        <w:rPr>
          <w:b w:val="1"/>
          <w:bCs w:val="1"/>
          <w:color w:val="000000"/>
          <w:sz w:val="26"/>
          <w:szCs w:val="26"/>
          <w:rtl w:val="0"/>
        </w:rPr>
        <w:t xml:space="preserve">Video 3 - Classification of Offences and First Hearing</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About this video</w:t>
      </w:r>
      <w:r w:rsidDel="00000000" w:rsidR="00000000" w:rsidRPr="00000000">
        <w:rPr>
          <w:rtl w:val="0"/>
        </w:rPr>
        <w:t xml:space="preserve"> </w:t>
      </w:r>
    </w:p>
    <w:p w:rsidR="00000000" w:rsidDel="00000000" w:rsidP="00000000" w:rsidRDefault="00000000" w:rsidRPr="00000000" w14:paraId="00000015">
      <w:pPr>
        <w:spacing w:after="240" w:before="240" w:lineRule="auto"/>
        <w:rPr/>
      </w:pPr>
      <w:r w:rsidDel="00000000" w:rsidR="00000000" w:rsidRPr="00000000">
        <w:rPr>
          <w:rtl w:val="0"/>
        </w:rPr>
        <w:t xml:space="preserve">This video explains how criminal offences are categorized and the critical decisions made during a case's first appearance. It explains how to distinguish between summary, either-way, and indictable-only offences and how these dictate the trial venue. We walk through the procedural steps of the first hearing in the magistrates' court, where initial pleas are taken. It also explains the strategic importance of the "Mode of Trial" decision and how it impacts sentencing powers. Mastering this classification system is the cornerstone of effective case management and strategic legal advice.</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Key areas covered</w:t>
      </w:r>
    </w:p>
    <w:p w:rsidR="00000000" w:rsidDel="00000000" w:rsidP="00000000" w:rsidRDefault="00000000" w:rsidRPr="00000000" w14:paraId="00000017">
      <w:pPr>
        <w:numPr>
          <w:ilvl w:val="0"/>
          <w:numId w:val="9"/>
        </w:numPr>
        <w:spacing w:after="0" w:before="240" w:lineRule="auto"/>
        <w:ind w:left="720" w:hanging="360"/>
        <w:rPr/>
      </w:pPr>
      <w:r w:rsidDel="00000000" w:rsidR="00000000" w:rsidRPr="00000000">
        <w:rPr>
          <w:rtl w:val="0"/>
        </w:rPr>
        <w:t xml:space="preserve">The three categories of criminal offences</w:t>
      </w:r>
    </w:p>
    <w:p w:rsidR="00000000" w:rsidDel="00000000" w:rsidP="00000000" w:rsidRDefault="00000000" w:rsidRPr="00000000" w14:paraId="00000018">
      <w:pPr>
        <w:numPr>
          <w:ilvl w:val="0"/>
          <w:numId w:val="9"/>
        </w:numPr>
        <w:spacing w:after="0" w:before="0" w:lineRule="auto"/>
        <w:ind w:left="720" w:hanging="360"/>
        <w:rPr/>
      </w:pPr>
      <w:r w:rsidDel="00000000" w:rsidR="00000000" w:rsidRPr="00000000">
        <w:rPr>
          <w:rtl w:val="0"/>
        </w:rPr>
        <w:t xml:space="preserve">First hearing procedural overview</w:t>
      </w:r>
    </w:p>
    <w:p w:rsidR="00000000" w:rsidDel="00000000" w:rsidP="00000000" w:rsidRDefault="00000000" w:rsidRPr="00000000" w14:paraId="00000019">
      <w:pPr>
        <w:numPr>
          <w:ilvl w:val="0"/>
          <w:numId w:val="9"/>
        </w:numPr>
        <w:spacing w:after="0" w:before="0" w:lineRule="auto"/>
        <w:ind w:left="720" w:hanging="360"/>
        <w:rPr/>
      </w:pPr>
      <w:r w:rsidDel="00000000" w:rsidR="00000000" w:rsidRPr="00000000">
        <w:rPr>
          <w:rtl w:val="0"/>
        </w:rPr>
        <w:t xml:space="preserve">Applying for Representation Orders (Legal Aid)</w:t>
      </w:r>
    </w:p>
    <w:p w:rsidR="00000000" w:rsidDel="00000000" w:rsidP="00000000" w:rsidRDefault="00000000" w:rsidRPr="00000000" w14:paraId="0000001A">
      <w:pPr>
        <w:numPr>
          <w:ilvl w:val="0"/>
          <w:numId w:val="9"/>
        </w:numPr>
        <w:spacing w:after="240" w:before="0" w:lineRule="auto"/>
        <w:ind w:left="720" w:hanging="360"/>
        <w:rPr/>
      </w:pPr>
      <w:r w:rsidDel="00000000" w:rsidR="00000000" w:rsidRPr="00000000">
        <w:rPr>
          <w:rtl w:val="0"/>
        </w:rPr>
        <w:t xml:space="preserve">Venue and mode of trial decisions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n34jn52a9sm" w:id="3"/>
      <w:bookmarkEnd w:id="3"/>
      <w:r w:rsidDel="00000000" w:rsidR="00000000" w:rsidRPr="00000000">
        <w:rPr>
          <w:b w:val="1"/>
          <w:bCs w:val="1"/>
          <w:color w:val="000000"/>
          <w:sz w:val="26"/>
          <w:szCs w:val="26"/>
          <w:rtl w:val="0"/>
        </w:rPr>
        <w:t xml:space="preserve">Video 4 - The Law of Bail</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About this video</w:t>
      </w:r>
      <w:r w:rsidDel="00000000" w:rsidR="00000000" w:rsidRPr="00000000">
        <w:rPr>
          <w:rtl w:val="0"/>
        </w:rPr>
        <w:t xml:space="preserve"> </w:t>
      </w:r>
    </w:p>
    <w:p w:rsidR="00000000" w:rsidDel="00000000" w:rsidP="00000000" w:rsidRDefault="00000000" w:rsidRPr="00000000" w14:paraId="0000001E">
      <w:pPr>
        <w:spacing w:after="240" w:before="240" w:lineRule="auto"/>
        <w:rPr/>
      </w:pPr>
      <w:r w:rsidDel="00000000" w:rsidR="00000000" w:rsidRPr="00000000">
        <w:rPr>
          <w:rtl w:val="0"/>
        </w:rPr>
        <w:t xml:space="preserve">This video details the statutory presumption of liberty and the legal framework governing pre-trial release. It explores the Bail Act 1976 and the grounds on which the prosecution can object to bail. We cover the use of conditions, such as curfews or sureties, to manage risks while keeping the client at liberty. The video also explains the procedure for applying for bail and the high stakes of the appeals process. Finally, it discusses the severe consequences of breaching bail, including the specific criminal offence of absconding.</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Key areas covered</w:t>
      </w:r>
    </w:p>
    <w:p w:rsidR="00000000" w:rsidDel="00000000" w:rsidP="00000000" w:rsidRDefault="00000000" w:rsidRPr="00000000" w14:paraId="00000020">
      <w:pPr>
        <w:numPr>
          <w:ilvl w:val="0"/>
          <w:numId w:val="7"/>
        </w:numPr>
        <w:spacing w:after="0" w:before="240" w:lineRule="auto"/>
        <w:ind w:left="720" w:hanging="360"/>
        <w:rPr/>
      </w:pPr>
      <w:r w:rsidDel="00000000" w:rsidR="00000000" w:rsidRPr="00000000">
        <w:rPr>
          <w:rtl w:val="0"/>
        </w:rPr>
        <w:t xml:space="preserve">The Presumption of Bail and its exceptions</w:t>
      </w:r>
    </w:p>
    <w:p w:rsidR="00000000" w:rsidDel="00000000" w:rsidP="00000000" w:rsidRDefault="00000000" w:rsidRPr="00000000" w14:paraId="00000021">
      <w:pPr>
        <w:numPr>
          <w:ilvl w:val="0"/>
          <w:numId w:val="7"/>
        </w:numPr>
        <w:spacing w:after="0" w:before="0" w:lineRule="auto"/>
        <w:ind w:left="720" w:hanging="360"/>
        <w:rPr/>
      </w:pPr>
      <w:r w:rsidDel="00000000" w:rsidR="00000000" w:rsidRPr="00000000">
        <w:rPr>
          <w:rtl w:val="0"/>
        </w:rPr>
        <w:t xml:space="preserve">Conditional bail and electronic monitoring</w:t>
      </w:r>
    </w:p>
    <w:p w:rsidR="00000000" w:rsidDel="00000000" w:rsidP="00000000" w:rsidRDefault="00000000" w:rsidRPr="00000000" w14:paraId="00000022">
      <w:pPr>
        <w:numPr>
          <w:ilvl w:val="0"/>
          <w:numId w:val="7"/>
        </w:numPr>
        <w:spacing w:after="0" w:before="0" w:lineRule="auto"/>
        <w:ind w:left="720" w:hanging="360"/>
        <w:rPr/>
      </w:pPr>
      <w:r w:rsidDel="00000000" w:rsidR="00000000" w:rsidRPr="00000000">
        <w:rPr>
          <w:rtl w:val="0"/>
        </w:rPr>
        <w:t xml:space="preserve">Bail application procedures and appeals</w:t>
      </w:r>
    </w:p>
    <w:p w:rsidR="00000000" w:rsidDel="00000000" w:rsidP="00000000" w:rsidRDefault="00000000" w:rsidRPr="00000000" w14:paraId="00000023">
      <w:pPr>
        <w:numPr>
          <w:ilvl w:val="0"/>
          <w:numId w:val="7"/>
        </w:numPr>
        <w:spacing w:after="240" w:before="0" w:lineRule="auto"/>
        <w:ind w:left="720" w:hanging="360"/>
        <w:rPr/>
      </w:pPr>
      <w:r w:rsidDel="00000000" w:rsidR="00000000" w:rsidRPr="00000000">
        <w:rPr>
          <w:rtl w:val="0"/>
        </w:rPr>
        <w:t xml:space="preserve">Consequences of absconding and breaching conditions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po77pmcvfqc2" w:id="4"/>
      <w:bookmarkEnd w:id="4"/>
      <w:r w:rsidDel="00000000" w:rsidR="00000000" w:rsidRPr="00000000">
        <w:rPr>
          <w:b w:val="1"/>
          <w:bCs w:val="1"/>
          <w:color w:val="000000"/>
          <w:sz w:val="26"/>
          <w:szCs w:val="26"/>
          <w:rtl w:val="0"/>
        </w:rPr>
        <w:t xml:space="preserve">Video 5 - Allocation, Plea, and Case Management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About this video</w:t>
      </w:r>
      <w:r w:rsidDel="00000000" w:rsidR="00000000" w:rsidRPr="00000000">
        <w:rPr>
          <w:rtl w:val="0"/>
        </w:rPr>
        <w:t xml:space="preserve"> </w:t>
      </w:r>
    </w:p>
    <w:p w:rsidR="00000000" w:rsidDel="00000000" w:rsidP="00000000" w:rsidRDefault="00000000" w:rsidRPr="00000000" w14:paraId="00000027">
      <w:pPr>
        <w:spacing w:after="240" w:before="240" w:lineRule="auto"/>
        <w:rPr/>
      </w:pPr>
      <w:r w:rsidDel="00000000" w:rsidR="00000000" w:rsidRPr="00000000">
        <w:rPr>
          <w:rtl w:val="0"/>
        </w:rPr>
        <w:t xml:space="preserve">This video focuses on the procedural "fork in the road" where the trial venue for an either-way offence is determined. You will learn about the "Plea Before Venue" process and the strategic factors involved in electing a trial venue. We explore the benefits and risks of the magistrates' court versus the Crown Court, including differences in sentencing. It also covers the demands of modern case management and the critical two-way street of the disclosure regime. Understanding these steps is essential for building a robust defence and ensuring a fair trial process.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Key areas covered</w:t>
      </w:r>
    </w:p>
    <w:p w:rsidR="00000000" w:rsidDel="00000000" w:rsidP="00000000" w:rsidRDefault="00000000" w:rsidRPr="00000000" w14:paraId="00000029">
      <w:pPr>
        <w:numPr>
          <w:ilvl w:val="0"/>
          <w:numId w:val="6"/>
        </w:numPr>
        <w:spacing w:after="0" w:before="240" w:lineRule="auto"/>
        <w:ind w:left="720" w:hanging="360"/>
        <w:rPr/>
      </w:pPr>
      <w:r w:rsidDel="00000000" w:rsidR="00000000" w:rsidRPr="00000000">
        <w:rPr>
          <w:rtl w:val="0"/>
        </w:rPr>
        <w:t xml:space="preserve">Plea Before Venue for either-way offences</w:t>
      </w:r>
    </w:p>
    <w:p w:rsidR="00000000" w:rsidDel="00000000" w:rsidP="00000000" w:rsidRDefault="00000000" w:rsidRPr="00000000" w14:paraId="0000002A">
      <w:pPr>
        <w:numPr>
          <w:ilvl w:val="0"/>
          <w:numId w:val="6"/>
        </w:numPr>
        <w:spacing w:after="0" w:before="0" w:lineRule="auto"/>
        <w:ind w:left="720" w:hanging="360"/>
        <w:rPr/>
      </w:pPr>
      <w:r w:rsidDel="00000000" w:rsidR="00000000" w:rsidRPr="00000000">
        <w:rPr>
          <w:rtl w:val="0"/>
        </w:rPr>
        <w:t xml:space="preserve">Allocation hearings and the "Mode of Trial"</w:t>
      </w:r>
    </w:p>
    <w:p w:rsidR="00000000" w:rsidDel="00000000" w:rsidP="00000000" w:rsidRDefault="00000000" w:rsidRPr="00000000" w14:paraId="0000002B">
      <w:pPr>
        <w:numPr>
          <w:ilvl w:val="0"/>
          <w:numId w:val="6"/>
        </w:numPr>
        <w:spacing w:after="0" w:before="0" w:lineRule="auto"/>
        <w:ind w:left="720" w:hanging="360"/>
        <w:rPr/>
      </w:pPr>
      <w:r w:rsidDel="00000000" w:rsidR="00000000" w:rsidRPr="00000000">
        <w:rPr>
          <w:rtl w:val="0"/>
        </w:rPr>
        <w:t xml:space="preserve">Case Management and the PTPH</w:t>
      </w:r>
    </w:p>
    <w:p w:rsidR="00000000" w:rsidDel="00000000" w:rsidP="00000000" w:rsidRDefault="00000000" w:rsidRPr="00000000" w14:paraId="0000002C">
      <w:pPr>
        <w:numPr>
          <w:ilvl w:val="0"/>
          <w:numId w:val="6"/>
        </w:numPr>
        <w:spacing w:after="240" w:before="0" w:lineRule="auto"/>
        <w:ind w:left="720" w:hanging="360"/>
        <w:rPr/>
      </w:pPr>
      <w:r w:rsidDel="00000000" w:rsidR="00000000" w:rsidRPr="00000000">
        <w:rPr>
          <w:rtl w:val="0"/>
        </w:rPr>
        <w:t xml:space="preserve">The Prosecution and Defence disclosure regime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w0mj9lluvrri" w:id="5"/>
      <w:bookmarkEnd w:id="5"/>
      <w:r w:rsidDel="00000000" w:rsidR="00000000" w:rsidRPr="00000000">
        <w:rPr>
          <w:b w:val="1"/>
          <w:bCs w:val="1"/>
          <w:color w:val="000000"/>
          <w:sz w:val="26"/>
          <w:szCs w:val="26"/>
          <w:rtl w:val="0"/>
        </w:rPr>
        <w:t xml:space="preserve">Video 6 - Admissibility of Evidence 1: Silence, Identification, and Hearsay</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About this video</w:t>
      </w:r>
      <w:r w:rsidDel="00000000" w:rsidR="00000000" w:rsidRPr="00000000">
        <w:rPr>
          <w:rtl w:val="0"/>
        </w:rPr>
        <w:t xml:space="preserve"> </w:t>
      </w:r>
    </w:p>
    <w:p w:rsidR="00000000" w:rsidDel="00000000" w:rsidP="00000000" w:rsidRDefault="00000000" w:rsidRPr="00000000" w14:paraId="00000030">
      <w:pPr>
        <w:spacing w:after="240" w:before="240" w:lineRule="auto"/>
        <w:rPr/>
      </w:pPr>
      <w:r w:rsidDel="00000000" w:rsidR="00000000" w:rsidRPr="00000000">
        <w:rPr>
          <w:rtl w:val="0"/>
        </w:rPr>
        <w:t xml:space="preserve">This video examines the fundamental rules of evidence that ensure a criminal trial remains a fair search for the truth. We begin with the burden and standard of proof before exploring the limitations of the "right to silence." It explores the Turnbull guidelines, which provide a vital shield against unreliable visual identification evidence. We also demystify the complex exclusionary rule against hearsay and the statutory gateways that allow for its admission. This session empowers advocates to challenge prosecution evidence and safeguard the defendant’s position through mastery of evidentiary rules.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Key areas covered</w:t>
      </w:r>
    </w:p>
    <w:p w:rsidR="00000000" w:rsidDel="00000000" w:rsidP="00000000" w:rsidRDefault="00000000" w:rsidRPr="00000000" w14:paraId="00000032">
      <w:pPr>
        <w:numPr>
          <w:ilvl w:val="0"/>
          <w:numId w:val="5"/>
        </w:numPr>
        <w:spacing w:after="0" w:before="240" w:lineRule="auto"/>
        <w:ind w:left="720" w:hanging="360"/>
        <w:rPr/>
      </w:pPr>
      <w:r w:rsidDel="00000000" w:rsidR="00000000" w:rsidRPr="00000000">
        <w:rPr>
          <w:rtl w:val="0"/>
        </w:rPr>
        <w:t xml:space="preserve">Burden and Standard of Proof</w:t>
      </w:r>
    </w:p>
    <w:p w:rsidR="00000000" w:rsidDel="00000000" w:rsidP="00000000" w:rsidRDefault="00000000" w:rsidRPr="00000000" w14:paraId="00000033">
      <w:pPr>
        <w:numPr>
          <w:ilvl w:val="0"/>
          <w:numId w:val="5"/>
        </w:numPr>
        <w:spacing w:after="0" w:before="0" w:lineRule="auto"/>
        <w:ind w:left="720" w:hanging="360"/>
        <w:rPr/>
      </w:pPr>
      <w:r w:rsidDel="00000000" w:rsidR="00000000" w:rsidRPr="00000000">
        <w:rPr>
          <w:rtl w:val="0"/>
        </w:rPr>
        <w:t xml:space="preserve">Adverse inferences from silence at trial</w:t>
      </w:r>
    </w:p>
    <w:p w:rsidR="00000000" w:rsidDel="00000000" w:rsidP="00000000" w:rsidRDefault="00000000" w:rsidRPr="00000000" w14:paraId="00000034">
      <w:pPr>
        <w:numPr>
          <w:ilvl w:val="0"/>
          <w:numId w:val="5"/>
        </w:numPr>
        <w:spacing w:after="0" w:before="0" w:lineRule="auto"/>
        <w:ind w:left="720" w:hanging="360"/>
        <w:rPr/>
      </w:pPr>
      <w:r w:rsidDel="00000000" w:rsidR="00000000" w:rsidRPr="00000000">
        <w:rPr>
          <w:rtl w:val="0"/>
        </w:rPr>
        <w:t xml:space="preserve">Visual identification and Turnbull warnings</w:t>
      </w:r>
    </w:p>
    <w:p w:rsidR="00000000" w:rsidDel="00000000" w:rsidP="00000000" w:rsidRDefault="00000000" w:rsidRPr="00000000" w14:paraId="00000035">
      <w:pPr>
        <w:numPr>
          <w:ilvl w:val="0"/>
          <w:numId w:val="5"/>
        </w:numPr>
        <w:spacing w:after="240" w:before="0" w:lineRule="auto"/>
        <w:ind w:left="720" w:hanging="360"/>
        <w:rPr/>
      </w:pPr>
      <w:r w:rsidDel="00000000" w:rsidR="00000000" w:rsidRPr="00000000">
        <w:rPr>
          <w:rtl w:val="0"/>
        </w:rPr>
        <w:t xml:space="preserve">The Hearsay Rule and its gateways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695gp7f3tzdc" w:id="6"/>
      <w:bookmarkEnd w:id="6"/>
      <w:r w:rsidDel="00000000" w:rsidR="00000000" w:rsidRPr="00000000">
        <w:rPr>
          <w:b w:val="1"/>
          <w:bCs w:val="1"/>
          <w:color w:val="000000"/>
          <w:sz w:val="26"/>
          <w:szCs w:val="26"/>
          <w:rtl w:val="0"/>
        </w:rPr>
        <w:t xml:space="preserve">Video 7 - Admissibility of Evidence 2: Confessions and Bad Character</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About this video</w:t>
      </w:r>
      <w:r w:rsidDel="00000000" w:rsidR="00000000" w:rsidRPr="00000000">
        <w:rPr>
          <w:rtl w:val="0"/>
        </w:rPr>
        <w:t xml:space="preserve"> This video explores two highly persuasive but potentially prejudicial types of evidence: confessions and evidence of bad character. You will learn how to challenge confessions obtained through oppression or unreliability using Sections 76 and 78 of PACE. We examine the seven statutory gateways that allow a defendant’s past misconduct to be admitted as evidence. The video highlights the court’s overriding discretion to exclude evidence that would have an adverse effect on fairness. By understanding these frameworks, you will be able to protect your client from unfair prejudice and unreliable evidence.</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Key areas covered</w:t>
      </w:r>
    </w:p>
    <w:p w:rsidR="00000000" w:rsidDel="00000000" w:rsidP="00000000" w:rsidRDefault="00000000" w:rsidRPr="00000000" w14:paraId="0000003A">
      <w:pPr>
        <w:numPr>
          <w:ilvl w:val="0"/>
          <w:numId w:val="3"/>
        </w:numPr>
        <w:spacing w:after="0" w:before="240" w:lineRule="auto"/>
        <w:ind w:left="720" w:hanging="360"/>
        <w:rPr/>
      </w:pPr>
      <w:r w:rsidDel="00000000" w:rsidR="00000000" w:rsidRPr="00000000">
        <w:rPr>
          <w:rtl w:val="0"/>
        </w:rPr>
        <w:t xml:space="preserve">Admissibility and challenging confessions</w:t>
      </w:r>
    </w:p>
    <w:p w:rsidR="00000000" w:rsidDel="00000000" w:rsidP="00000000" w:rsidRDefault="00000000" w:rsidRPr="00000000" w14:paraId="0000003B">
      <w:pPr>
        <w:numPr>
          <w:ilvl w:val="0"/>
          <w:numId w:val="3"/>
        </w:numPr>
        <w:spacing w:after="0" w:before="0" w:lineRule="auto"/>
        <w:ind w:left="720" w:hanging="360"/>
        <w:rPr/>
      </w:pPr>
      <w:r w:rsidDel="00000000" w:rsidR="00000000" w:rsidRPr="00000000">
        <w:rPr>
          <w:rtl w:val="0"/>
        </w:rPr>
        <w:t xml:space="preserve">The "gateways" for Bad Character evidence</w:t>
      </w:r>
    </w:p>
    <w:p w:rsidR="00000000" w:rsidDel="00000000" w:rsidP="00000000" w:rsidRDefault="00000000" w:rsidRPr="00000000" w14:paraId="0000003C">
      <w:pPr>
        <w:numPr>
          <w:ilvl w:val="0"/>
          <w:numId w:val="3"/>
        </w:numPr>
        <w:spacing w:after="0" w:before="0" w:lineRule="auto"/>
        <w:ind w:left="720" w:hanging="360"/>
        <w:rPr/>
      </w:pPr>
      <w:r w:rsidDel="00000000" w:rsidR="00000000" w:rsidRPr="00000000">
        <w:rPr>
          <w:rtl w:val="0"/>
        </w:rPr>
        <w:t xml:space="preserve">Sections 76 and 78 of PACE 1984</w:t>
      </w:r>
    </w:p>
    <w:p w:rsidR="00000000" w:rsidDel="00000000" w:rsidP="00000000" w:rsidRDefault="00000000" w:rsidRPr="00000000" w14:paraId="0000003D">
      <w:pPr>
        <w:numPr>
          <w:ilvl w:val="0"/>
          <w:numId w:val="3"/>
        </w:numPr>
        <w:spacing w:after="240" w:before="0" w:lineRule="auto"/>
        <w:ind w:left="720" w:hanging="360"/>
        <w:rPr/>
      </w:pPr>
      <w:r w:rsidDel="00000000" w:rsidR="00000000" w:rsidRPr="00000000">
        <w:rPr>
          <w:rtl w:val="0"/>
        </w:rPr>
        <w:t xml:space="preserve">The court's discretion to exclude prejudicial evidence</w:t>
      </w:r>
    </w:p>
    <w:p w:rsidR="00000000" w:rsidDel="00000000" w:rsidP="00000000" w:rsidRDefault="00000000" w:rsidRPr="00000000" w14:paraId="0000003E">
      <w:pPr>
        <w:spacing w:after="240" w:before="240" w:lineRule="auto"/>
        <w:ind w:left="720" w:firstLine="0"/>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pkhl01bpdfkj" w:id="7"/>
      <w:bookmarkEnd w:id="7"/>
      <w:r w:rsidDel="00000000" w:rsidR="00000000" w:rsidRPr="00000000">
        <w:rPr>
          <w:b w:val="1"/>
          <w:bCs w:val="1"/>
          <w:color w:val="000000"/>
          <w:sz w:val="26"/>
          <w:szCs w:val="26"/>
          <w:rtl w:val="0"/>
        </w:rPr>
        <w:t xml:space="preserve">Video 8 - Trial Procedure and Sentencing</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About this video</w:t>
      </w:r>
      <w:r w:rsidDel="00000000" w:rsidR="00000000" w:rsidRPr="00000000">
        <w:rPr>
          <w:rtl w:val="0"/>
        </w:rPr>
        <w:t xml:space="preserve"> This video provides a comprehensive guide to the conduct of a criminal trial and the subsequent sentencing process. It walks you through the stages of a trial, from opening speeches to the verdict, including tactical "no case to answer" submissions. We examine the rules surrounding witnesses and the core principles of advocacy that govern both magistrates' and Crown Court trials. It also details how courts follow sentencing guidelines and the vital role of the plea in mitigation. This complete overview ensures you understand how to uphold a defendant's rights from the trial's start to the final sentence.</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Key areas covered</w:t>
      </w:r>
    </w:p>
    <w:p w:rsidR="00000000" w:rsidDel="00000000" w:rsidP="00000000" w:rsidRDefault="00000000" w:rsidRPr="00000000" w14:paraId="00000042">
      <w:pPr>
        <w:numPr>
          <w:ilvl w:val="0"/>
          <w:numId w:val="2"/>
        </w:numPr>
        <w:spacing w:after="0" w:before="240" w:lineRule="auto"/>
        <w:ind w:left="720" w:hanging="360"/>
        <w:rPr/>
      </w:pPr>
      <w:r w:rsidDel="00000000" w:rsidR="00000000" w:rsidRPr="00000000">
        <w:rPr>
          <w:rtl w:val="0"/>
        </w:rPr>
        <w:t xml:space="preserve">Stages of a Criminal Trial</w:t>
      </w:r>
    </w:p>
    <w:p w:rsidR="00000000" w:rsidDel="00000000" w:rsidP="00000000" w:rsidRDefault="00000000" w:rsidRPr="00000000" w14:paraId="00000043">
      <w:pPr>
        <w:numPr>
          <w:ilvl w:val="0"/>
          <w:numId w:val="2"/>
        </w:numPr>
        <w:spacing w:after="0" w:before="0" w:lineRule="auto"/>
        <w:ind w:left="720" w:hanging="360"/>
        <w:rPr/>
      </w:pPr>
      <w:r w:rsidDel="00000000" w:rsidR="00000000" w:rsidRPr="00000000">
        <w:rPr>
          <w:rtl w:val="0"/>
        </w:rPr>
        <w:t xml:space="preserve">Submission of "No Case to Answer"</w:t>
      </w:r>
    </w:p>
    <w:p w:rsidR="00000000" w:rsidDel="00000000" w:rsidP="00000000" w:rsidRDefault="00000000" w:rsidRPr="00000000" w14:paraId="00000044">
      <w:pPr>
        <w:numPr>
          <w:ilvl w:val="0"/>
          <w:numId w:val="2"/>
        </w:numPr>
        <w:spacing w:after="0" w:before="0" w:lineRule="auto"/>
        <w:ind w:left="720" w:hanging="360"/>
        <w:rPr/>
      </w:pPr>
      <w:r w:rsidDel="00000000" w:rsidR="00000000" w:rsidRPr="00000000">
        <w:rPr>
          <w:rtl w:val="0"/>
        </w:rPr>
        <w:t xml:space="preserve">The Sentencing Guidelines and the Totality Principle</w:t>
      </w:r>
    </w:p>
    <w:p w:rsidR="00000000" w:rsidDel="00000000" w:rsidP="00000000" w:rsidRDefault="00000000" w:rsidRPr="00000000" w14:paraId="00000045">
      <w:pPr>
        <w:numPr>
          <w:ilvl w:val="0"/>
          <w:numId w:val="2"/>
        </w:numPr>
        <w:spacing w:after="240" w:before="0" w:lineRule="auto"/>
        <w:ind w:left="720" w:hanging="360"/>
        <w:rPr/>
      </w:pPr>
      <w:r w:rsidDel="00000000" w:rsidR="00000000" w:rsidRPr="00000000">
        <w:rPr>
          <w:rtl w:val="0"/>
        </w:rPr>
        <w:t xml:space="preserve">Plea in Mitigation and Newton Hearings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pgbu7nqclgvo" w:id="8"/>
      <w:bookmarkEnd w:id="8"/>
      <w:r w:rsidDel="00000000" w:rsidR="00000000" w:rsidRPr="00000000">
        <w:rPr>
          <w:b w:val="1"/>
          <w:bCs w:val="1"/>
          <w:color w:val="000000"/>
          <w:sz w:val="26"/>
          <w:szCs w:val="26"/>
          <w:rtl w:val="0"/>
        </w:rPr>
        <w:t xml:space="preserve">Video 9 - Appeals and Youth Justice</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About this video</w:t>
      </w:r>
    </w:p>
    <w:p w:rsidR="00000000" w:rsidDel="00000000" w:rsidP="00000000" w:rsidRDefault="00000000" w:rsidRPr="00000000" w14:paraId="00000049">
      <w:pPr>
        <w:spacing w:after="240" w:before="240" w:lineRule="auto"/>
        <w:rPr/>
      </w:pPr>
      <w:r w:rsidDel="00000000" w:rsidR="00000000" w:rsidRPr="00000000">
        <w:rPr>
          <w:rtl w:val="0"/>
        </w:rPr>
        <w:t xml:space="preserve">This video covers the mechanisms for challenging court decisions and the unique philosophy of the youth justice system. You will learn about the structured hierarchy of appeals, from rehearings in the Crown Court to legal reviews in higher courts. We then shift focus to the Youth Court, explaining how its procedures prioritize welfare and rehabilitation over punishment. The video explores the role of the Youth Offending Team and the specific requirements for parental attendance. By the end, you will understand how the justice system corrects errors and adapts to its youngest participants.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Key areas covered</w:t>
      </w:r>
    </w:p>
    <w:p w:rsidR="00000000" w:rsidDel="00000000" w:rsidP="00000000" w:rsidRDefault="00000000" w:rsidRPr="00000000" w14:paraId="0000004B">
      <w:pPr>
        <w:numPr>
          <w:ilvl w:val="0"/>
          <w:numId w:val="1"/>
        </w:numPr>
        <w:spacing w:after="0" w:before="240" w:lineRule="auto"/>
        <w:ind w:left="720" w:hanging="360"/>
        <w:rPr/>
      </w:pPr>
      <w:r w:rsidDel="00000000" w:rsidR="00000000" w:rsidRPr="00000000">
        <w:rPr>
          <w:rtl w:val="0"/>
        </w:rPr>
        <w:t xml:space="preserve">Appeals from the Magistrates' Court and the Crown Court</w:t>
      </w:r>
    </w:p>
    <w:p w:rsidR="00000000" w:rsidDel="00000000" w:rsidP="00000000" w:rsidRDefault="00000000" w:rsidRPr="00000000" w14:paraId="0000004C">
      <w:pPr>
        <w:numPr>
          <w:ilvl w:val="0"/>
          <w:numId w:val="1"/>
        </w:numPr>
        <w:spacing w:after="0" w:before="0" w:lineRule="auto"/>
        <w:ind w:left="720" w:hanging="360"/>
        <w:rPr/>
      </w:pPr>
      <w:r w:rsidDel="00000000" w:rsidR="00000000" w:rsidRPr="00000000">
        <w:rPr>
          <w:rtl w:val="0"/>
        </w:rPr>
        <w:t xml:space="preserve">The philosophy of the Youth Justice System</w:t>
      </w:r>
    </w:p>
    <w:p w:rsidR="00000000" w:rsidDel="00000000" w:rsidP="00000000" w:rsidRDefault="00000000" w:rsidRPr="00000000" w14:paraId="0000004D">
      <w:pPr>
        <w:numPr>
          <w:ilvl w:val="0"/>
          <w:numId w:val="1"/>
        </w:numPr>
        <w:spacing w:after="0" w:before="0" w:lineRule="auto"/>
        <w:ind w:left="720" w:hanging="360"/>
        <w:rPr/>
      </w:pPr>
      <w:r w:rsidDel="00000000" w:rsidR="00000000" w:rsidRPr="00000000">
        <w:rPr>
          <w:rtl w:val="0"/>
        </w:rPr>
        <w:t xml:space="preserve">Youth Court procedures and sentencing</w:t>
      </w:r>
    </w:p>
    <w:p w:rsidR="00000000" w:rsidDel="00000000" w:rsidP="00000000" w:rsidRDefault="00000000" w:rsidRPr="00000000" w14:paraId="0000004E">
      <w:pPr>
        <w:numPr>
          <w:ilvl w:val="0"/>
          <w:numId w:val="1"/>
        </w:numPr>
        <w:spacing w:after="240" w:before="0" w:lineRule="auto"/>
        <w:ind w:left="720" w:hanging="360"/>
        <w:rPr/>
      </w:pPr>
      <w:r w:rsidDel="00000000" w:rsidR="00000000" w:rsidRPr="00000000">
        <w:rPr>
          <w:rtl w:val="0"/>
        </w:rPr>
        <w:t xml:space="preserve">The role of the Youth Offending Team (YOT)</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