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583EFE1" w14:textId="2B028BFD" w:rsidR="007466B5" w:rsidRPr="00D22435" w:rsidRDefault="00D22435" w:rsidP="00D22435">
      <w:pPr>
        <w:jc w:val="center"/>
        <w:rPr>
          <w:rFonts w:ascii="Times New Roman" w:hAnsi="Times New Roman" w:cs="Times New Roman"/>
          <w:b/>
          <w:bCs/>
          <w:sz w:val="32"/>
          <w:szCs w:val="32"/>
        </w:rPr>
      </w:pPr>
      <w:r w:rsidRPr="00D22435">
        <w:rPr>
          <w:rFonts w:ascii="Times New Roman" w:hAnsi="Times New Roman" w:cs="Times New Roman"/>
          <w:b/>
          <w:bCs/>
          <w:sz w:val="32"/>
          <w:szCs w:val="32"/>
        </w:rPr>
        <w:t>Criminal law</w:t>
      </w:r>
    </w:p>
    <w:p w14:paraId="67942A1C" w14:textId="77777777" w:rsidR="00D22435" w:rsidRPr="00D22435" w:rsidRDefault="00D22435" w:rsidP="00D22435">
      <w:pPr>
        <w:jc w:val="both"/>
        <w:rPr>
          <w:rFonts w:ascii="Times New Roman" w:hAnsi="Times New Roman" w:cs="Times New Roman"/>
          <w:b/>
          <w:bCs/>
          <w:sz w:val="24"/>
          <w:szCs w:val="24"/>
        </w:rPr>
      </w:pPr>
      <w:r w:rsidRPr="00D22435">
        <w:rPr>
          <w:rFonts w:ascii="Times New Roman" w:hAnsi="Times New Roman" w:cs="Times New Roman"/>
          <w:b/>
          <w:bCs/>
          <w:sz w:val="24"/>
          <w:szCs w:val="24"/>
        </w:rPr>
        <w:t>Video 1 – Foundations of Criminal Liability</w:t>
      </w:r>
    </w:p>
    <w:p w14:paraId="3A2071D4" w14:textId="77777777"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About this video</w:t>
      </w:r>
    </w:p>
    <w:p w14:paraId="779FED4A" w14:textId="77777777" w:rsidR="00395299" w:rsidRDefault="00395299" w:rsidP="00D22435">
      <w:pPr>
        <w:jc w:val="both"/>
        <w:rPr>
          <w:rFonts w:ascii="Times New Roman" w:hAnsi="Times New Roman" w:cs="Times New Roman"/>
          <w:sz w:val="24"/>
          <w:szCs w:val="24"/>
        </w:rPr>
      </w:pPr>
      <w:r w:rsidRPr="00395299">
        <w:rPr>
          <w:rFonts w:ascii="Times New Roman" w:hAnsi="Times New Roman" w:cs="Times New Roman"/>
          <w:sz w:val="24"/>
          <w:szCs w:val="24"/>
        </w:rPr>
        <w:t xml:space="preserve">This foundational video introduces the two essential pillars of criminal liability: Actus Reus (the guilty act) and </w:t>
      </w:r>
      <w:proofErr w:type="spellStart"/>
      <w:r w:rsidRPr="00395299">
        <w:rPr>
          <w:rFonts w:ascii="Times New Roman" w:hAnsi="Times New Roman" w:cs="Times New Roman"/>
          <w:sz w:val="24"/>
          <w:szCs w:val="24"/>
        </w:rPr>
        <w:t>Mens</w:t>
      </w:r>
      <w:proofErr w:type="spellEnd"/>
      <w:r w:rsidRPr="00395299">
        <w:rPr>
          <w:rFonts w:ascii="Times New Roman" w:hAnsi="Times New Roman" w:cs="Times New Roman"/>
          <w:sz w:val="24"/>
          <w:szCs w:val="24"/>
        </w:rPr>
        <w:t xml:space="preserve"> Rea (the guilty mind). You'll learn how these elements must coincide, explore the crucial role of causation, and understand the vital "golden thread" principle that the prosecution bears the burden of proving guilt beyond reasonable doubt in a criminal trial.</w:t>
      </w:r>
    </w:p>
    <w:p w14:paraId="4EB7DA95" w14:textId="7AED2B38"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Key areas covered</w:t>
      </w:r>
    </w:p>
    <w:p w14:paraId="1A29F638" w14:textId="77777777" w:rsidR="007370FB" w:rsidRDefault="00D22435" w:rsidP="00D22435">
      <w:pPr>
        <w:pStyle w:val="ListParagraph"/>
        <w:numPr>
          <w:ilvl w:val="0"/>
          <w:numId w:val="9"/>
        </w:numPr>
        <w:jc w:val="both"/>
        <w:rPr>
          <w:rFonts w:ascii="Times New Roman" w:hAnsi="Times New Roman" w:cs="Times New Roman"/>
          <w:sz w:val="24"/>
          <w:szCs w:val="24"/>
        </w:rPr>
      </w:pPr>
      <w:r w:rsidRPr="007370FB">
        <w:rPr>
          <w:rFonts w:ascii="Times New Roman" w:hAnsi="Times New Roman" w:cs="Times New Roman"/>
          <w:sz w:val="24"/>
          <w:szCs w:val="24"/>
        </w:rPr>
        <w:t xml:space="preserve">Actus Reus </w:t>
      </w:r>
    </w:p>
    <w:p w14:paraId="73BBA704" w14:textId="77777777" w:rsidR="007370FB" w:rsidRDefault="00D22435" w:rsidP="00D22435">
      <w:pPr>
        <w:pStyle w:val="ListParagraph"/>
        <w:numPr>
          <w:ilvl w:val="0"/>
          <w:numId w:val="9"/>
        </w:numPr>
        <w:jc w:val="both"/>
        <w:rPr>
          <w:rFonts w:ascii="Times New Roman" w:hAnsi="Times New Roman" w:cs="Times New Roman"/>
          <w:sz w:val="24"/>
          <w:szCs w:val="24"/>
        </w:rPr>
      </w:pPr>
      <w:proofErr w:type="spellStart"/>
      <w:r w:rsidRPr="007370FB">
        <w:rPr>
          <w:rFonts w:ascii="Times New Roman" w:hAnsi="Times New Roman" w:cs="Times New Roman"/>
          <w:sz w:val="24"/>
          <w:szCs w:val="24"/>
        </w:rPr>
        <w:t>Mens</w:t>
      </w:r>
      <w:proofErr w:type="spellEnd"/>
      <w:r w:rsidRPr="007370FB">
        <w:rPr>
          <w:rFonts w:ascii="Times New Roman" w:hAnsi="Times New Roman" w:cs="Times New Roman"/>
          <w:sz w:val="24"/>
          <w:szCs w:val="24"/>
        </w:rPr>
        <w:t xml:space="preserve"> Rea</w:t>
      </w:r>
    </w:p>
    <w:p w14:paraId="5164259B" w14:textId="26C1CBFE" w:rsidR="00D22435" w:rsidRPr="007370FB" w:rsidRDefault="00D22435" w:rsidP="00D22435">
      <w:pPr>
        <w:pStyle w:val="ListParagraph"/>
        <w:numPr>
          <w:ilvl w:val="0"/>
          <w:numId w:val="9"/>
        </w:numPr>
        <w:jc w:val="both"/>
        <w:rPr>
          <w:rFonts w:ascii="Times New Roman" w:hAnsi="Times New Roman" w:cs="Times New Roman"/>
          <w:sz w:val="24"/>
          <w:szCs w:val="24"/>
        </w:rPr>
      </w:pPr>
      <w:r w:rsidRPr="007370FB">
        <w:rPr>
          <w:rFonts w:ascii="Times New Roman" w:hAnsi="Times New Roman" w:cs="Times New Roman"/>
          <w:sz w:val="24"/>
          <w:szCs w:val="24"/>
        </w:rPr>
        <w:t>Strict liability offences</w:t>
      </w:r>
    </w:p>
    <w:p w14:paraId="0A03830E" w14:textId="43B55A74" w:rsidR="00D22435" w:rsidRPr="00D22435" w:rsidRDefault="00D22435" w:rsidP="00D22435">
      <w:pPr>
        <w:pStyle w:val="ListParagraph"/>
        <w:numPr>
          <w:ilvl w:val="0"/>
          <w:numId w:val="9"/>
        </w:numPr>
        <w:jc w:val="both"/>
        <w:rPr>
          <w:rFonts w:ascii="Times New Roman" w:hAnsi="Times New Roman" w:cs="Times New Roman"/>
          <w:sz w:val="24"/>
          <w:szCs w:val="24"/>
        </w:rPr>
      </w:pPr>
      <w:r w:rsidRPr="00D22435">
        <w:rPr>
          <w:rFonts w:ascii="Times New Roman" w:hAnsi="Times New Roman" w:cs="Times New Roman"/>
          <w:sz w:val="24"/>
          <w:szCs w:val="24"/>
        </w:rPr>
        <w:t>The “golden thread” of proof</w:t>
      </w:r>
    </w:p>
    <w:p w14:paraId="43C75819" w14:textId="77777777" w:rsidR="00D22435" w:rsidRPr="00D22435" w:rsidRDefault="00D22435" w:rsidP="00D22435">
      <w:pPr>
        <w:jc w:val="both"/>
        <w:rPr>
          <w:rFonts w:ascii="Times New Roman" w:hAnsi="Times New Roman" w:cs="Times New Roman"/>
          <w:sz w:val="24"/>
          <w:szCs w:val="24"/>
        </w:rPr>
      </w:pPr>
    </w:p>
    <w:p w14:paraId="518B90C5" w14:textId="77777777" w:rsidR="00D22435" w:rsidRPr="00D22435" w:rsidRDefault="00D22435" w:rsidP="00D22435">
      <w:pPr>
        <w:jc w:val="both"/>
        <w:rPr>
          <w:rFonts w:ascii="Times New Roman" w:hAnsi="Times New Roman" w:cs="Times New Roman"/>
          <w:b/>
          <w:bCs/>
          <w:sz w:val="24"/>
          <w:szCs w:val="24"/>
        </w:rPr>
      </w:pPr>
      <w:r w:rsidRPr="00D22435">
        <w:rPr>
          <w:rFonts w:ascii="Times New Roman" w:hAnsi="Times New Roman" w:cs="Times New Roman"/>
          <w:b/>
          <w:bCs/>
          <w:sz w:val="24"/>
          <w:szCs w:val="24"/>
        </w:rPr>
        <w:t>Video 2 – Property Offences Demystified</w:t>
      </w:r>
    </w:p>
    <w:p w14:paraId="723DBFAA" w14:textId="77777777"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About this video</w:t>
      </w:r>
    </w:p>
    <w:p w14:paraId="20FA4E16" w14:textId="77777777" w:rsidR="00395299" w:rsidRDefault="00395299" w:rsidP="00D22435">
      <w:pPr>
        <w:jc w:val="both"/>
        <w:rPr>
          <w:rFonts w:ascii="Times New Roman" w:hAnsi="Times New Roman" w:cs="Times New Roman"/>
          <w:sz w:val="24"/>
          <w:szCs w:val="24"/>
        </w:rPr>
      </w:pPr>
      <w:r w:rsidRPr="00395299">
        <w:rPr>
          <w:rFonts w:ascii="Times New Roman" w:hAnsi="Times New Roman" w:cs="Times New Roman"/>
          <w:sz w:val="24"/>
          <w:szCs w:val="24"/>
        </w:rPr>
        <w:t>This video provides a clear and structured breakdown of the core property offences under English law. You'll learn the precise legal definitions and key elements of Theft, Robbery, and Burglary, and understand how courts apply modern tests like the Ivey test to determine dishonesty in these critical crimes.</w:t>
      </w:r>
    </w:p>
    <w:p w14:paraId="00D5C482" w14:textId="3B32A540"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Key areas covered</w:t>
      </w:r>
    </w:p>
    <w:p w14:paraId="6FF87EED" w14:textId="1F3AFE29" w:rsidR="00D22435" w:rsidRPr="00D22435" w:rsidRDefault="00D22435" w:rsidP="00D22435">
      <w:pPr>
        <w:pStyle w:val="ListParagraph"/>
        <w:numPr>
          <w:ilvl w:val="0"/>
          <w:numId w:val="8"/>
        </w:numPr>
        <w:jc w:val="both"/>
        <w:rPr>
          <w:rFonts w:ascii="Times New Roman" w:hAnsi="Times New Roman" w:cs="Times New Roman"/>
          <w:sz w:val="24"/>
          <w:szCs w:val="24"/>
        </w:rPr>
      </w:pPr>
      <w:r w:rsidRPr="00D22435">
        <w:rPr>
          <w:rFonts w:ascii="Times New Roman" w:hAnsi="Times New Roman" w:cs="Times New Roman"/>
          <w:sz w:val="24"/>
          <w:szCs w:val="24"/>
        </w:rPr>
        <w:t>The five-part test for theft</w:t>
      </w:r>
    </w:p>
    <w:p w14:paraId="0F225CD4" w14:textId="67220587" w:rsidR="00D22435" w:rsidRPr="00D22435" w:rsidRDefault="00D22435" w:rsidP="00D22435">
      <w:pPr>
        <w:pStyle w:val="ListParagraph"/>
        <w:numPr>
          <w:ilvl w:val="0"/>
          <w:numId w:val="8"/>
        </w:numPr>
        <w:jc w:val="both"/>
        <w:rPr>
          <w:rFonts w:ascii="Times New Roman" w:hAnsi="Times New Roman" w:cs="Times New Roman"/>
          <w:sz w:val="24"/>
          <w:szCs w:val="24"/>
        </w:rPr>
      </w:pPr>
      <w:r w:rsidRPr="00D22435">
        <w:rPr>
          <w:rFonts w:ascii="Times New Roman" w:hAnsi="Times New Roman" w:cs="Times New Roman"/>
          <w:sz w:val="24"/>
          <w:szCs w:val="24"/>
        </w:rPr>
        <w:t>Robbery as theft plus force</w:t>
      </w:r>
    </w:p>
    <w:p w14:paraId="76B2F651" w14:textId="1C3CAA55" w:rsidR="00D22435" w:rsidRPr="00D22435" w:rsidRDefault="00D22435" w:rsidP="00D22435">
      <w:pPr>
        <w:pStyle w:val="ListParagraph"/>
        <w:numPr>
          <w:ilvl w:val="0"/>
          <w:numId w:val="8"/>
        </w:numPr>
        <w:jc w:val="both"/>
        <w:rPr>
          <w:rFonts w:ascii="Times New Roman" w:hAnsi="Times New Roman" w:cs="Times New Roman"/>
          <w:sz w:val="24"/>
          <w:szCs w:val="24"/>
        </w:rPr>
      </w:pPr>
      <w:r w:rsidRPr="00D22435">
        <w:rPr>
          <w:rFonts w:ascii="Times New Roman" w:hAnsi="Times New Roman" w:cs="Times New Roman"/>
          <w:sz w:val="24"/>
          <w:szCs w:val="24"/>
        </w:rPr>
        <w:t>Burglary: trespass with intent</w:t>
      </w:r>
    </w:p>
    <w:p w14:paraId="4AA06860" w14:textId="77777777" w:rsidR="00D22435" w:rsidRPr="00D22435" w:rsidRDefault="00D22435" w:rsidP="00D22435">
      <w:pPr>
        <w:pStyle w:val="ListParagraph"/>
        <w:numPr>
          <w:ilvl w:val="0"/>
          <w:numId w:val="8"/>
        </w:numPr>
        <w:jc w:val="both"/>
        <w:rPr>
          <w:rFonts w:ascii="Times New Roman" w:hAnsi="Times New Roman" w:cs="Times New Roman"/>
          <w:sz w:val="24"/>
          <w:szCs w:val="24"/>
        </w:rPr>
      </w:pPr>
      <w:r w:rsidRPr="00D22435">
        <w:rPr>
          <w:rFonts w:ascii="Times New Roman" w:hAnsi="Times New Roman" w:cs="Times New Roman"/>
          <w:sz w:val="24"/>
          <w:szCs w:val="24"/>
        </w:rPr>
        <w:t>The Ivey test for dishonesty</w:t>
      </w:r>
    </w:p>
    <w:p w14:paraId="06D11AE6" w14:textId="77777777" w:rsidR="00D22435" w:rsidRPr="00D22435" w:rsidRDefault="00D22435" w:rsidP="00D22435">
      <w:pPr>
        <w:jc w:val="both"/>
        <w:rPr>
          <w:rFonts w:ascii="Times New Roman" w:hAnsi="Times New Roman" w:cs="Times New Roman"/>
          <w:sz w:val="24"/>
          <w:szCs w:val="24"/>
        </w:rPr>
      </w:pPr>
    </w:p>
    <w:p w14:paraId="1F018BE0" w14:textId="77777777" w:rsidR="00D22435" w:rsidRPr="00D22435" w:rsidRDefault="00D22435" w:rsidP="00D22435">
      <w:pPr>
        <w:jc w:val="both"/>
        <w:rPr>
          <w:rFonts w:ascii="Times New Roman" w:hAnsi="Times New Roman" w:cs="Times New Roman"/>
          <w:b/>
          <w:bCs/>
          <w:sz w:val="24"/>
          <w:szCs w:val="24"/>
        </w:rPr>
      </w:pPr>
      <w:r w:rsidRPr="00D22435">
        <w:rPr>
          <w:rFonts w:ascii="Times New Roman" w:hAnsi="Times New Roman" w:cs="Times New Roman"/>
          <w:b/>
          <w:bCs/>
          <w:sz w:val="24"/>
          <w:szCs w:val="24"/>
        </w:rPr>
        <w:t>Video 3 – Understanding Criminal Damage</w:t>
      </w:r>
    </w:p>
    <w:p w14:paraId="195FCB32" w14:textId="77777777"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About this video</w:t>
      </w:r>
    </w:p>
    <w:p w14:paraId="64FD6A99" w14:textId="77777777" w:rsidR="00395299" w:rsidRDefault="00395299" w:rsidP="00D22435">
      <w:pPr>
        <w:jc w:val="both"/>
        <w:rPr>
          <w:rFonts w:ascii="Times New Roman" w:hAnsi="Times New Roman" w:cs="Times New Roman"/>
          <w:sz w:val="24"/>
          <w:szCs w:val="24"/>
        </w:rPr>
      </w:pPr>
      <w:r w:rsidRPr="00395299">
        <w:rPr>
          <w:rFonts w:ascii="Times New Roman" w:hAnsi="Times New Roman" w:cs="Times New Roman"/>
          <w:sz w:val="24"/>
          <w:szCs w:val="24"/>
        </w:rPr>
        <w:t>This video explains the spectrum of criminal damage offences, from simple vandalism to the more serious aggravated criminal damage and arson. You'll learn about the required mental element of recklessness and explore key defences such as lawful excuse, which protect those acting to defend property.</w:t>
      </w:r>
    </w:p>
    <w:p w14:paraId="0DF312BC" w14:textId="4450A602"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Key areas covered</w:t>
      </w:r>
    </w:p>
    <w:p w14:paraId="5E29FAA8" w14:textId="60DD67F1" w:rsidR="00D22435" w:rsidRPr="00D22435" w:rsidRDefault="00D22435" w:rsidP="00D22435">
      <w:pPr>
        <w:pStyle w:val="ListParagraph"/>
        <w:numPr>
          <w:ilvl w:val="0"/>
          <w:numId w:val="7"/>
        </w:numPr>
        <w:jc w:val="both"/>
        <w:rPr>
          <w:rFonts w:ascii="Times New Roman" w:hAnsi="Times New Roman" w:cs="Times New Roman"/>
          <w:sz w:val="24"/>
          <w:szCs w:val="24"/>
        </w:rPr>
      </w:pPr>
      <w:r w:rsidRPr="00D22435">
        <w:rPr>
          <w:rFonts w:ascii="Times New Roman" w:hAnsi="Times New Roman" w:cs="Times New Roman"/>
          <w:sz w:val="24"/>
          <w:szCs w:val="24"/>
        </w:rPr>
        <w:t>Simple vs. aggravated criminal damage</w:t>
      </w:r>
    </w:p>
    <w:p w14:paraId="0F3BB6C2" w14:textId="2E0715D5" w:rsidR="00D22435" w:rsidRPr="00D22435" w:rsidRDefault="00D22435" w:rsidP="00D22435">
      <w:pPr>
        <w:pStyle w:val="ListParagraph"/>
        <w:numPr>
          <w:ilvl w:val="0"/>
          <w:numId w:val="7"/>
        </w:numPr>
        <w:jc w:val="both"/>
        <w:rPr>
          <w:rFonts w:ascii="Times New Roman" w:hAnsi="Times New Roman" w:cs="Times New Roman"/>
          <w:sz w:val="24"/>
          <w:szCs w:val="24"/>
        </w:rPr>
      </w:pPr>
      <w:r w:rsidRPr="00D22435">
        <w:rPr>
          <w:rFonts w:ascii="Times New Roman" w:hAnsi="Times New Roman" w:cs="Times New Roman"/>
          <w:sz w:val="24"/>
          <w:szCs w:val="24"/>
        </w:rPr>
        <w:t>Arson and its serious nature</w:t>
      </w:r>
    </w:p>
    <w:p w14:paraId="002CACB7" w14:textId="6523EB4F" w:rsidR="00D22435" w:rsidRPr="00D22435" w:rsidRDefault="00D22435" w:rsidP="00D22435">
      <w:pPr>
        <w:pStyle w:val="ListParagraph"/>
        <w:numPr>
          <w:ilvl w:val="0"/>
          <w:numId w:val="7"/>
        </w:numPr>
        <w:jc w:val="both"/>
        <w:rPr>
          <w:rFonts w:ascii="Times New Roman" w:hAnsi="Times New Roman" w:cs="Times New Roman"/>
          <w:sz w:val="24"/>
          <w:szCs w:val="24"/>
        </w:rPr>
      </w:pPr>
      <w:r w:rsidRPr="00D22435">
        <w:rPr>
          <w:rFonts w:ascii="Times New Roman" w:hAnsi="Times New Roman" w:cs="Times New Roman"/>
          <w:sz w:val="24"/>
          <w:szCs w:val="24"/>
        </w:rPr>
        <w:t>The subjective test for recklessness</w:t>
      </w:r>
    </w:p>
    <w:p w14:paraId="4CEA9FDA" w14:textId="77777777" w:rsidR="00D22435" w:rsidRPr="00D22435" w:rsidRDefault="00D22435" w:rsidP="00D22435">
      <w:pPr>
        <w:pStyle w:val="ListParagraph"/>
        <w:numPr>
          <w:ilvl w:val="0"/>
          <w:numId w:val="7"/>
        </w:numPr>
        <w:jc w:val="both"/>
        <w:rPr>
          <w:rFonts w:ascii="Times New Roman" w:hAnsi="Times New Roman" w:cs="Times New Roman"/>
          <w:sz w:val="24"/>
          <w:szCs w:val="24"/>
        </w:rPr>
      </w:pPr>
      <w:r w:rsidRPr="00D22435">
        <w:rPr>
          <w:rFonts w:ascii="Times New Roman" w:hAnsi="Times New Roman" w:cs="Times New Roman"/>
          <w:sz w:val="24"/>
          <w:szCs w:val="24"/>
        </w:rPr>
        <w:t>Defence of lawful excuse and protection of property</w:t>
      </w:r>
    </w:p>
    <w:p w14:paraId="60035C73" w14:textId="77777777" w:rsidR="00D22435" w:rsidRPr="00D22435" w:rsidRDefault="00D22435" w:rsidP="00D22435">
      <w:pPr>
        <w:jc w:val="both"/>
        <w:rPr>
          <w:rFonts w:ascii="Times New Roman" w:hAnsi="Times New Roman" w:cs="Times New Roman"/>
          <w:sz w:val="24"/>
          <w:szCs w:val="24"/>
        </w:rPr>
      </w:pPr>
    </w:p>
    <w:p w14:paraId="7BFE8B94" w14:textId="77777777" w:rsidR="00D22435" w:rsidRPr="00D22435" w:rsidRDefault="00D22435" w:rsidP="00D22435">
      <w:pPr>
        <w:jc w:val="both"/>
        <w:rPr>
          <w:rFonts w:ascii="Times New Roman" w:hAnsi="Times New Roman" w:cs="Times New Roman"/>
          <w:b/>
          <w:bCs/>
          <w:sz w:val="24"/>
          <w:szCs w:val="24"/>
        </w:rPr>
      </w:pPr>
      <w:r w:rsidRPr="00D22435">
        <w:rPr>
          <w:rFonts w:ascii="Times New Roman" w:hAnsi="Times New Roman" w:cs="Times New Roman"/>
          <w:b/>
          <w:bCs/>
          <w:sz w:val="24"/>
          <w:szCs w:val="24"/>
        </w:rPr>
        <w:t>Video 4 – Non-Fatal Offences Against the Person</w:t>
      </w:r>
    </w:p>
    <w:p w14:paraId="6F3DAADE" w14:textId="77777777"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About this video</w:t>
      </w:r>
    </w:p>
    <w:p w14:paraId="737D1DD6" w14:textId="52A2804C" w:rsidR="00395299" w:rsidRDefault="00395299" w:rsidP="00D22435">
      <w:pPr>
        <w:jc w:val="both"/>
        <w:rPr>
          <w:rFonts w:ascii="Times New Roman" w:hAnsi="Times New Roman" w:cs="Times New Roman"/>
          <w:sz w:val="24"/>
          <w:szCs w:val="24"/>
        </w:rPr>
      </w:pPr>
      <w:r w:rsidRPr="00395299">
        <w:rPr>
          <w:rFonts w:ascii="Times New Roman" w:hAnsi="Times New Roman" w:cs="Times New Roman"/>
          <w:sz w:val="24"/>
          <w:szCs w:val="24"/>
        </w:rPr>
        <w:t>This video navigates the detailed hierarchy of non-fatal offences against the person, from common assault up to wounding with intent. You'll understand how the law measures harm, the importance of causation</w:t>
      </w:r>
      <w:r>
        <w:rPr>
          <w:rFonts w:ascii="Times New Roman" w:hAnsi="Times New Roman" w:cs="Times New Roman"/>
          <w:sz w:val="24"/>
          <w:szCs w:val="24"/>
        </w:rPr>
        <w:t xml:space="preserve">, </w:t>
      </w:r>
      <w:r w:rsidRPr="00395299">
        <w:rPr>
          <w:rFonts w:ascii="Times New Roman" w:hAnsi="Times New Roman" w:cs="Times New Roman"/>
          <w:sz w:val="24"/>
          <w:szCs w:val="24"/>
        </w:rPr>
        <w:t>including the "eggshell skull" rule</w:t>
      </w:r>
      <w:r>
        <w:rPr>
          <w:rFonts w:ascii="Times New Roman" w:hAnsi="Times New Roman" w:cs="Times New Roman"/>
          <w:sz w:val="24"/>
          <w:szCs w:val="24"/>
        </w:rPr>
        <w:t xml:space="preserve">, </w:t>
      </w:r>
      <w:r w:rsidRPr="00395299">
        <w:rPr>
          <w:rFonts w:ascii="Times New Roman" w:hAnsi="Times New Roman" w:cs="Times New Roman"/>
          <w:sz w:val="24"/>
          <w:szCs w:val="24"/>
        </w:rPr>
        <w:t>and the strict legal limits on consent to physical harm.</w:t>
      </w:r>
    </w:p>
    <w:p w14:paraId="73DBE086" w14:textId="1B465023"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Key areas covered</w:t>
      </w:r>
    </w:p>
    <w:p w14:paraId="4BC90CDD" w14:textId="0CC907DA" w:rsidR="00D22435" w:rsidRPr="007370FB" w:rsidRDefault="00D22435" w:rsidP="007370FB">
      <w:pPr>
        <w:pStyle w:val="ListParagraph"/>
        <w:numPr>
          <w:ilvl w:val="0"/>
          <w:numId w:val="10"/>
        </w:numPr>
        <w:jc w:val="both"/>
        <w:rPr>
          <w:rFonts w:ascii="Times New Roman" w:hAnsi="Times New Roman" w:cs="Times New Roman"/>
          <w:sz w:val="24"/>
          <w:szCs w:val="24"/>
        </w:rPr>
      </w:pPr>
      <w:r w:rsidRPr="007370FB">
        <w:rPr>
          <w:rFonts w:ascii="Times New Roman" w:hAnsi="Times New Roman" w:cs="Times New Roman"/>
          <w:sz w:val="24"/>
          <w:szCs w:val="24"/>
        </w:rPr>
        <w:t>Assault, battery, and ABH</w:t>
      </w:r>
    </w:p>
    <w:p w14:paraId="326A68DB" w14:textId="5009387E" w:rsidR="00D22435" w:rsidRPr="007370FB" w:rsidRDefault="00D22435" w:rsidP="007370FB">
      <w:pPr>
        <w:pStyle w:val="ListParagraph"/>
        <w:numPr>
          <w:ilvl w:val="0"/>
          <w:numId w:val="10"/>
        </w:numPr>
        <w:jc w:val="both"/>
        <w:rPr>
          <w:rFonts w:ascii="Times New Roman" w:hAnsi="Times New Roman" w:cs="Times New Roman"/>
          <w:sz w:val="24"/>
          <w:szCs w:val="24"/>
        </w:rPr>
      </w:pPr>
      <w:r w:rsidRPr="007370FB">
        <w:rPr>
          <w:rFonts w:ascii="Times New Roman" w:hAnsi="Times New Roman" w:cs="Times New Roman"/>
          <w:sz w:val="24"/>
          <w:szCs w:val="24"/>
        </w:rPr>
        <w:t>GBH under Sections 20 and 18</w:t>
      </w:r>
    </w:p>
    <w:p w14:paraId="7C9CF66A" w14:textId="51269404" w:rsidR="00D22435" w:rsidRPr="007370FB" w:rsidRDefault="00D22435" w:rsidP="007370FB">
      <w:pPr>
        <w:pStyle w:val="ListParagraph"/>
        <w:numPr>
          <w:ilvl w:val="0"/>
          <w:numId w:val="10"/>
        </w:numPr>
        <w:jc w:val="both"/>
        <w:rPr>
          <w:rFonts w:ascii="Times New Roman" w:hAnsi="Times New Roman" w:cs="Times New Roman"/>
          <w:sz w:val="24"/>
          <w:szCs w:val="24"/>
        </w:rPr>
      </w:pPr>
      <w:r w:rsidRPr="007370FB">
        <w:rPr>
          <w:rFonts w:ascii="Times New Roman" w:hAnsi="Times New Roman" w:cs="Times New Roman"/>
          <w:sz w:val="24"/>
          <w:szCs w:val="24"/>
        </w:rPr>
        <w:t>Causation and the “eggshell skull” rule</w:t>
      </w:r>
    </w:p>
    <w:p w14:paraId="2CA64775" w14:textId="1268AB01" w:rsidR="00D22435" w:rsidRPr="007370FB" w:rsidRDefault="00D22435" w:rsidP="007370FB">
      <w:pPr>
        <w:pStyle w:val="ListParagraph"/>
        <w:numPr>
          <w:ilvl w:val="0"/>
          <w:numId w:val="10"/>
        </w:numPr>
        <w:jc w:val="both"/>
        <w:rPr>
          <w:rFonts w:ascii="Times New Roman" w:hAnsi="Times New Roman" w:cs="Times New Roman"/>
          <w:sz w:val="24"/>
          <w:szCs w:val="24"/>
        </w:rPr>
      </w:pPr>
      <w:r w:rsidRPr="007370FB">
        <w:rPr>
          <w:rFonts w:ascii="Times New Roman" w:hAnsi="Times New Roman" w:cs="Times New Roman"/>
          <w:sz w:val="24"/>
          <w:szCs w:val="24"/>
        </w:rPr>
        <w:t xml:space="preserve">Limits of consent </w:t>
      </w:r>
    </w:p>
    <w:p w14:paraId="02100C3B" w14:textId="77777777" w:rsidR="00D22435" w:rsidRPr="00D22435" w:rsidRDefault="00D22435" w:rsidP="00D22435">
      <w:pPr>
        <w:jc w:val="both"/>
        <w:rPr>
          <w:rFonts w:ascii="Times New Roman" w:hAnsi="Times New Roman" w:cs="Times New Roman"/>
          <w:b/>
          <w:bCs/>
          <w:sz w:val="24"/>
          <w:szCs w:val="24"/>
        </w:rPr>
      </w:pPr>
    </w:p>
    <w:p w14:paraId="3CB1D3CE" w14:textId="77777777" w:rsidR="00D22435" w:rsidRPr="00D22435" w:rsidRDefault="00D22435" w:rsidP="00D22435">
      <w:pPr>
        <w:jc w:val="both"/>
        <w:rPr>
          <w:rFonts w:ascii="Times New Roman" w:hAnsi="Times New Roman" w:cs="Times New Roman"/>
          <w:b/>
          <w:bCs/>
          <w:sz w:val="24"/>
          <w:szCs w:val="24"/>
        </w:rPr>
      </w:pPr>
      <w:r w:rsidRPr="00D22435">
        <w:rPr>
          <w:rFonts w:ascii="Times New Roman" w:hAnsi="Times New Roman" w:cs="Times New Roman"/>
          <w:b/>
          <w:bCs/>
          <w:sz w:val="24"/>
          <w:szCs w:val="24"/>
        </w:rPr>
        <w:t>Video 5 – Homicide Offences</w:t>
      </w:r>
    </w:p>
    <w:p w14:paraId="0D174B4D" w14:textId="77777777"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About this video</w:t>
      </w:r>
    </w:p>
    <w:p w14:paraId="2071AEE7" w14:textId="77777777" w:rsidR="00395299" w:rsidRDefault="00395299" w:rsidP="00D22435">
      <w:pPr>
        <w:jc w:val="both"/>
        <w:rPr>
          <w:rFonts w:ascii="Times New Roman" w:hAnsi="Times New Roman" w:cs="Times New Roman"/>
          <w:sz w:val="24"/>
          <w:szCs w:val="24"/>
        </w:rPr>
      </w:pPr>
      <w:r w:rsidRPr="00395299">
        <w:rPr>
          <w:rFonts w:ascii="Times New Roman" w:hAnsi="Times New Roman" w:cs="Times New Roman"/>
          <w:sz w:val="24"/>
          <w:szCs w:val="24"/>
        </w:rPr>
        <w:t>This video covers the most serious area of criminal law: homicide. You'll learn the critical distinctions between murder, voluntary manslaughter, and involuntary manslaughter, and explore the key partial defences that can reduce a murder charge, all within the essential framework of establishing causation.</w:t>
      </w:r>
    </w:p>
    <w:p w14:paraId="0F540743" w14:textId="1AAAAB13"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Key areas covered</w:t>
      </w:r>
    </w:p>
    <w:p w14:paraId="2116A3C4" w14:textId="7DFA9983" w:rsidR="00D22435" w:rsidRPr="00D22435" w:rsidRDefault="00D22435" w:rsidP="00D22435">
      <w:pPr>
        <w:pStyle w:val="ListParagraph"/>
        <w:numPr>
          <w:ilvl w:val="0"/>
          <w:numId w:val="6"/>
        </w:numPr>
        <w:jc w:val="both"/>
        <w:rPr>
          <w:rFonts w:ascii="Times New Roman" w:hAnsi="Times New Roman" w:cs="Times New Roman"/>
          <w:sz w:val="24"/>
          <w:szCs w:val="24"/>
        </w:rPr>
      </w:pPr>
      <w:r w:rsidRPr="00D22435">
        <w:rPr>
          <w:rFonts w:ascii="Times New Roman" w:hAnsi="Times New Roman" w:cs="Times New Roman"/>
          <w:sz w:val="24"/>
          <w:szCs w:val="24"/>
        </w:rPr>
        <w:t>Murder</w:t>
      </w:r>
    </w:p>
    <w:p w14:paraId="4C014D1F" w14:textId="77777777" w:rsidR="007370FB" w:rsidRDefault="00D22435" w:rsidP="00D22435">
      <w:pPr>
        <w:pStyle w:val="ListParagraph"/>
        <w:numPr>
          <w:ilvl w:val="0"/>
          <w:numId w:val="6"/>
        </w:numPr>
        <w:jc w:val="both"/>
        <w:rPr>
          <w:rFonts w:ascii="Times New Roman" w:hAnsi="Times New Roman" w:cs="Times New Roman"/>
          <w:sz w:val="24"/>
          <w:szCs w:val="24"/>
        </w:rPr>
      </w:pPr>
      <w:r w:rsidRPr="007370FB">
        <w:rPr>
          <w:rFonts w:ascii="Times New Roman" w:hAnsi="Times New Roman" w:cs="Times New Roman"/>
          <w:sz w:val="24"/>
          <w:szCs w:val="24"/>
        </w:rPr>
        <w:t>Voluntary manslaughter</w:t>
      </w:r>
    </w:p>
    <w:p w14:paraId="3CCA59AD" w14:textId="68F88822" w:rsidR="00D22435" w:rsidRPr="007370FB" w:rsidRDefault="00D22435" w:rsidP="00D22435">
      <w:pPr>
        <w:pStyle w:val="ListParagraph"/>
        <w:numPr>
          <w:ilvl w:val="0"/>
          <w:numId w:val="6"/>
        </w:numPr>
        <w:jc w:val="both"/>
        <w:rPr>
          <w:rFonts w:ascii="Times New Roman" w:hAnsi="Times New Roman" w:cs="Times New Roman"/>
          <w:sz w:val="24"/>
          <w:szCs w:val="24"/>
        </w:rPr>
      </w:pPr>
      <w:r w:rsidRPr="007370FB">
        <w:rPr>
          <w:rFonts w:ascii="Times New Roman" w:hAnsi="Times New Roman" w:cs="Times New Roman"/>
          <w:sz w:val="24"/>
          <w:szCs w:val="24"/>
        </w:rPr>
        <w:t>Involuntary manslaughter</w:t>
      </w:r>
    </w:p>
    <w:p w14:paraId="39DF243B" w14:textId="77777777" w:rsidR="00D22435" w:rsidRPr="00D22435" w:rsidRDefault="00D22435" w:rsidP="00D22435">
      <w:pPr>
        <w:pStyle w:val="ListParagraph"/>
        <w:numPr>
          <w:ilvl w:val="0"/>
          <w:numId w:val="6"/>
        </w:numPr>
        <w:jc w:val="both"/>
        <w:rPr>
          <w:rFonts w:ascii="Times New Roman" w:hAnsi="Times New Roman" w:cs="Times New Roman"/>
          <w:sz w:val="24"/>
          <w:szCs w:val="24"/>
        </w:rPr>
      </w:pPr>
      <w:r w:rsidRPr="00D22435">
        <w:rPr>
          <w:rFonts w:ascii="Times New Roman" w:hAnsi="Times New Roman" w:cs="Times New Roman"/>
          <w:sz w:val="24"/>
          <w:szCs w:val="24"/>
        </w:rPr>
        <w:t>Causation in homicide</w:t>
      </w:r>
    </w:p>
    <w:p w14:paraId="407DB1DE" w14:textId="77777777" w:rsidR="00D22435" w:rsidRPr="00D22435" w:rsidRDefault="00D22435" w:rsidP="00D22435">
      <w:pPr>
        <w:jc w:val="both"/>
        <w:rPr>
          <w:rFonts w:ascii="Times New Roman" w:hAnsi="Times New Roman" w:cs="Times New Roman"/>
          <w:b/>
          <w:bCs/>
          <w:sz w:val="24"/>
          <w:szCs w:val="24"/>
        </w:rPr>
      </w:pPr>
    </w:p>
    <w:p w14:paraId="311D6199" w14:textId="77777777" w:rsidR="00D22435" w:rsidRPr="00D22435" w:rsidRDefault="00D22435" w:rsidP="00D22435">
      <w:pPr>
        <w:jc w:val="both"/>
        <w:rPr>
          <w:rFonts w:ascii="Times New Roman" w:hAnsi="Times New Roman" w:cs="Times New Roman"/>
          <w:b/>
          <w:bCs/>
          <w:sz w:val="24"/>
          <w:szCs w:val="24"/>
        </w:rPr>
      </w:pPr>
      <w:r w:rsidRPr="00D22435">
        <w:rPr>
          <w:rFonts w:ascii="Times New Roman" w:hAnsi="Times New Roman" w:cs="Times New Roman"/>
          <w:b/>
          <w:bCs/>
          <w:sz w:val="24"/>
          <w:szCs w:val="24"/>
        </w:rPr>
        <w:t>Video 6 – Parties to a Crime</w:t>
      </w:r>
    </w:p>
    <w:p w14:paraId="4F35FD27" w14:textId="77777777"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About this video</w:t>
      </w:r>
    </w:p>
    <w:p w14:paraId="6222C512" w14:textId="77777777" w:rsidR="00395299" w:rsidRDefault="00395299" w:rsidP="00D22435">
      <w:pPr>
        <w:jc w:val="both"/>
        <w:rPr>
          <w:rFonts w:ascii="Times New Roman" w:hAnsi="Times New Roman" w:cs="Times New Roman"/>
          <w:sz w:val="24"/>
          <w:szCs w:val="24"/>
        </w:rPr>
      </w:pPr>
      <w:r w:rsidRPr="00395299">
        <w:rPr>
          <w:rFonts w:ascii="Times New Roman" w:hAnsi="Times New Roman" w:cs="Times New Roman"/>
          <w:sz w:val="24"/>
          <w:szCs w:val="24"/>
        </w:rPr>
        <w:t xml:space="preserve">This video explains how criminal liability extends beyond the principal offender to include secondary parties. You'll learn the legal framework for holding aiders, abettors, counsellors, and procurers accountable, and understand the modern principles of joint enterprise following the landmark </w:t>
      </w:r>
      <w:proofErr w:type="spellStart"/>
      <w:r w:rsidRPr="00395299">
        <w:rPr>
          <w:rFonts w:ascii="Times New Roman" w:hAnsi="Times New Roman" w:cs="Times New Roman"/>
          <w:sz w:val="24"/>
          <w:szCs w:val="24"/>
        </w:rPr>
        <w:t>Jogee</w:t>
      </w:r>
      <w:proofErr w:type="spellEnd"/>
      <w:r w:rsidRPr="00395299">
        <w:rPr>
          <w:rFonts w:ascii="Times New Roman" w:hAnsi="Times New Roman" w:cs="Times New Roman"/>
          <w:sz w:val="24"/>
          <w:szCs w:val="24"/>
        </w:rPr>
        <w:t xml:space="preserve"> ruling.</w:t>
      </w:r>
    </w:p>
    <w:p w14:paraId="0AC94E0B" w14:textId="54FBFCEC"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Key areas covered</w:t>
      </w:r>
    </w:p>
    <w:p w14:paraId="5C460310" w14:textId="2D2F5673" w:rsidR="00D22435" w:rsidRPr="00D22435" w:rsidRDefault="00D22435" w:rsidP="00D22435">
      <w:pPr>
        <w:pStyle w:val="ListParagraph"/>
        <w:numPr>
          <w:ilvl w:val="0"/>
          <w:numId w:val="4"/>
        </w:numPr>
        <w:jc w:val="both"/>
        <w:rPr>
          <w:rFonts w:ascii="Times New Roman" w:hAnsi="Times New Roman" w:cs="Times New Roman"/>
          <w:sz w:val="24"/>
          <w:szCs w:val="24"/>
        </w:rPr>
      </w:pPr>
      <w:r w:rsidRPr="00D22435">
        <w:rPr>
          <w:rFonts w:ascii="Times New Roman" w:hAnsi="Times New Roman" w:cs="Times New Roman"/>
          <w:sz w:val="24"/>
          <w:szCs w:val="24"/>
        </w:rPr>
        <w:t>Principal vs. secondary liability</w:t>
      </w:r>
    </w:p>
    <w:p w14:paraId="15CB58BA" w14:textId="6DD8B1F1" w:rsidR="00D22435" w:rsidRPr="00D22435" w:rsidRDefault="00D22435" w:rsidP="00D22435">
      <w:pPr>
        <w:pStyle w:val="ListParagraph"/>
        <w:numPr>
          <w:ilvl w:val="0"/>
          <w:numId w:val="4"/>
        </w:numPr>
        <w:jc w:val="both"/>
        <w:rPr>
          <w:rFonts w:ascii="Times New Roman" w:hAnsi="Times New Roman" w:cs="Times New Roman"/>
          <w:sz w:val="24"/>
          <w:szCs w:val="24"/>
        </w:rPr>
      </w:pPr>
      <w:r w:rsidRPr="00D22435">
        <w:rPr>
          <w:rFonts w:ascii="Times New Roman" w:hAnsi="Times New Roman" w:cs="Times New Roman"/>
          <w:sz w:val="24"/>
          <w:szCs w:val="24"/>
        </w:rPr>
        <w:t>Aiding, abetting, counselling, and procuring</w:t>
      </w:r>
    </w:p>
    <w:p w14:paraId="657A234B" w14:textId="26D5A99D" w:rsidR="00D22435" w:rsidRPr="00D22435" w:rsidRDefault="00D22435" w:rsidP="00D22435">
      <w:pPr>
        <w:pStyle w:val="ListParagraph"/>
        <w:numPr>
          <w:ilvl w:val="0"/>
          <w:numId w:val="4"/>
        </w:numPr>
        <w:jc w:val="both"/>
        <w:rPr>
          <w:rFonts w:ascii="Times New Roman" w:hAnsi="Times New Roman" w:cs="Times New Roman"/>
          <w:sz w:val="24"/>
          <w:szCs w:val="24"/>
        </w:rPr>
      </w:pPr>
      <w:r w:rsidRPr="00D22435">
        <w:rPr>
          <w:rFonts w:ascii="Times New Roman" w:hAnsi="Times New Roman" w:cs="Times New Roman"/>
          <w:sz w:val="24"/>
          <w:szCs w:val="24"/>
        </w:rPr>
        <w:t xml:space="preserve">The </w:t>
      </w:r>
      <w:proofErr w:type="spellStart"/>
      <w:r w:rsidRPr="00D22435">
        <w:rPr>
          <w:rFonts w:ascii="Times New Roman" w:hAnsi="Times New Roman" w:cs="Times New Roman"/>
          <w:sz w:val="24"/>
          <w:szCs w:val="24"/>
        </w:rPr>
        <w:t>Jogee</w:t>
      </w:r>
      <w:proofErr w:type="spellEnd"/>
      <w:r w:rsidRPr="00D22435">
        <w:rPr>
          <w:rFonts w:ascii="Times New Roman" w:hAnsi="Times New Roman" w:cs="Times New Roman"/>
          <w:sz w:val="24"/>
          <w:szCs w:val="24"/>
        </w:rPr>
        <w:t xml:space="preserve"> ruling on shared intention</w:t>
      </w:r>
    </w:p>
    <w:p w14:paraId="19A8E58A" w14:textId="77777777" w:rsidR="00D22435" w:rsidRPr="00D22435" w:rsidRDefault="00D22435" w:rsidP="00D22435">
      <w:pPr>
        <w:pStyle w:val="ListParagraph"/>
        <w:numPr>
          <w:ilvl w:val="0"/>
          <w:numId w:val="4"/>
        </w:numPr>
        <w:jc w:val="both"/>
        <w:rPr>
          <w:rFonts w:ascii="Times New Roman" w:hAnsi="Times New Roman" w:cs="Times New Roman"/>
          <w:sz w:val="24"/>
          <w:szCs w:val="24"/>
        </w:rPr>
      </w:pPr>
      <w:r w:rsidRPr="00D22435">
        <w:rPr>
          <w:rFonts w:ascii="Times New Roman" w:hAnsi="Times New Roman" w:cs="Times New Roman"/>
          <w:sz w:val="24"/>
          <w:szCs w:val="24"/>
        </w:rPr>
        <w:t>Serious Crime Act 2007 offences</w:t>
      </w:r>
    </w:p>
    <w:p w14:paraId="7F7AAB2E" w14:textId="77777777" w:rsidR="00D22435" w:rsidRPr="00D22435" w:rsidRDefault="00D22435" w:rsidP="00D22435">
      <w:pPr>
        <w:jc w:val="both"/>
        <w:rPr>
          <w:rFonts w:ascii="Times New Roman" w:hAnsi="Times New Roman" w:cs="Times New Roman"/>
          <w:sz w:val="24"/>
          <w:szCs w:val="24"/>
        </w:rPr>
      </w:pPr>
    </w:p>
    <w:p w14:paraId="200611ED" w14:textId="77777777" w:rsidR="00D22435" w:rsidRPr="00D22435" w:rsidRDefault="00D22435" w:rsidP="00D22435">
      <w:pPr>
        <w:jc w:val="both"/>
        <w:rPr>
          <w:rFonts w:ascii="Times New Roman" w:hAnsi="Times New Roman" w:cs="Times New Roman"/>
          <w:b/>
          <w:bCs/>
          <w:sz w:val="24"/>
          <w:szCs w:val="24"/>
        </w:rPr>
      </w:pPr>
      <w:r w:rsidRPr="00D22435">
        <w:rPr>
          <w:rFonts w:ascii="Times New Roman" w:hAnsi="Times New Roman" w:cs="Times New Roman"/>
          <w:b/>
          <w:bCs/>
          <w:sz w:val="24"/>
          <w:szCs w:val="24"/>
        </w:rPr>
        <w:t>Video 7 – Fraud and Dishonesty Offences</w:t>
      </w:r>
    </w:p>
    <w:p w14:paraId="23EA81A6" w14:textId="77777777"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About this video</w:t>
      </w:r>
    </w:p>
    <w:p w14:paraId="05CB26CA" w14:textId="77777777" w:rsidR="00395299" w:rsidRDefault="00395299" w:rsidP="00D22435">
      <w:pPr>
        <w:jc w:val="both"/>
        <w:rPr>
          <w:rFonts w:ascii="Times New Roman" w:hAnsi="Times New Roman" w:cs="Times New Roman"/>
          <w:sz w:val="24"/>
          <w:szCs w:val="24"/>
        </w:rPr>
      </w:pPr>
      <w:r w:rsidRPr="00395299">
        <w:rPr>
          <w:rFonts w:ascii="Times New Roman" w:hAnsi="Times New Roman" w:cs="Times New Roman"/>
          <w:sz w:val="24"/>
          <w:szCs w:val="24"/>
        </w:rPr>
        <w:t>This video demystifies fraud under the modern Fraud Act 2006, covering its three main pathways to conviction. You'll learn how to apply the authoritative Ivey test for dishonesty and understand the requirement of an intention to make a gain or cause a loss, which underpins all fraud offences.</w:t>
      </w:r>
    </w:p>
    <w:p w14:paraId="71269938" w14:textId="41FF9A31"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Key areas covered</w:t>
      </w:r>
    </w:p>
    <w:p w14:paraId="1764D6B0" w14:textId="5BE7B087" w:rsidR="00D22435" w:rsidRPr="00D22435" w:rsidRDefault="00D22435" w:rsidP="00D22435">
      <w:pPr>
        <w:pStyle w:val="ListParagraph"/>
        <w:numPr>
          <w:ilvl w:val="0"/>
          <w:numId w:val="3"/>
        </w:numPr>
        <w:jc w:val="both"/>
        <w:rPr>
          <w:rFonts w:ascii="Times New Roman" w:hAnsi="Times New Roman" w:cs="Times New Roman"/>
          <w:sz w:val="24"/>
          <w:szCs w:val="24"/>
        </w:rPr>
      </w:pPr>
      <w:r w:rsidRPr="00D22435">
        <w:rPr>
          <w:rFonts w:ascii="Times New Roman" w:hAnsi="Times New Roman" w:cs="Times New Roman"/>
          <w:sz w:val="24"/>
          <w:szCs w:val="24"/>
        </w:rPr>
        <w:t>Fraud by false representation</w:t>
      </w:r>
    </w:p>
    <w:p w14:paraId="401997DE" w14:textId="2EE680CB" w:rsidR="00D22435" w:rsidRPr="00D22435" w:rsidRDefault="00D22435" w:rsidP="00D22435">
      <w:pPr>
        <w:pStyle w:val="ListParagraph"/>
        <w:numPr>
          <w:ilvl w:val="0"/>
          <w:numId w:val="3"/>
        </w:numPr>
        <w:jc w:val="both"/>
        <w:rPr>
          <w:rFonts w:ascii="Times New Roman" w:hAnsi="Times New Roman" w:cs="Times New Roman"/>
          <w:sz w:val="24"/>
          <w:szCs w:val="24"/>
        </w:rPr>
      </w:pPr>
      <w:r w:rsidRPr="00D22435">
        <w:rPr>
          <w:rFonts w:ascii="Times New Roman" w:hAnsi="Times New Roman" w:cs="Times New Roman"/>
          <w:sz w:val="24"/>
          <w:szCs w:val="24"/>
        </w:rPr>
        <w:t>Fraud by abuse of position</w:t>
      </w:r>
    </w:p>
    <w:p w14:paraId="365CB145" w14:textId="1CB38AF4" w:rsidR="00D22435" w:rsidRPr="00D22435" w:rsidRDefault="00D22435" w:rsidP="00D22435">
      <w:pPr>
        <w:pStyle w:val="ListParagraph"/>
        <w:numPr>
          <w:ilvl w:val="0"/>
          <w:numId w:val="3"/>
        </w:numPr>
        <w:jc w:val="both"/>
        <w:rPr>
          <w:rFonts w:ascii="Times New Roman" w:hAnsi="Times New Roman" w:cs="Times New Roman"/>
          <w:sz w:val="24"/>
          <w:szCs w:val="24"/>
        </w:rPr>
      </w:pPr>
      <w:r w:rsidRPr="00D22435">
        <w:rPr>
          <w:rFonts w:ascii="Times New Roman" w:hAnsi="Times New Roman" w:cs="Times New Roman"/>
          <w:sz w:val="24"/>
          <w:szCs w:val="24"/>
        </w:rPr>
        <w:t>Fraud by failure to disclose</w:t>
      </w:r>
    </w:p>
    <w:p w14:paraId="1D097ECF" w14:textId="77777777" w:rsidR="00D22435" w:rsidRPr="00D22435" w:rsidRDefault="00D22435" w:rsidP="00D22435">
      <w:pPr>
        <w:pStyle w:val="ListParagraph"/>
        <w:numPr>
          <w:ilvl w:val="0"/>
          <w:numId w:val="3"/>
        </w:numPr>
        <w:jc w:val="both"/>
        <w:rPr>
          <w:rFonts w:ascii="Times New Roman" w:hAnsi="Times New Roman" w:cs="Times New Roman"/>
          <w:sz w:val="24"/>
          <w:szCs w:val="24"/>
        </w:rPr>
      </w:pPr>
      <w:r w:rsidRPr="00D22435">
        <w:rPr>
          <w:rFonts w:ascii="Times New Roman" w:hAnsi="Times New Roman" w:cs="Times New Roman"/>
          <w:sz w:val="24"/>
          <w:szCs w:val="24"/>
        </w:rPr>
        <w:t>The Ivey dishonesty test</w:t>
      </w:r>
    </w:p>
    <w:p w14:paraId="10527D68" w14:textId="77777777" w:rsidR="00D22435" w:rsidRPr="00D22435" w:rsidRDefault="00D22435" w:rsidP="00D22435">
      <w:pPr>
        <w:jc w:val="both"/>
        <w:rPr>
          <w:rFonts w:ascii="Times New Roman" w:hAnsi="Times New Roman" w:cs="Times New Roman"/>
          <w:sz w:val="24"/>
          <w:szCs w:val="24"/>
        </w:rPr>
      </w:pPr>
    </w:p>
    <w:p w14:paraId="47A1A6B8" w14:textId="77777777" w:rsidR="00D22435" w:rsidRPr="00D22435" w:rsidRDefault="00D22435" w:rsidP="00D22435">
      <w:pPr>
        <w:jc w:val="both"/>
        <w:rPr>
          <w:rFonts w:ascii="Times New Roman" w:hAnsi="Times New Roman" w:cs="Times New Roman"/>
          <w:b/>
          <w:bCs/>
          <w:sz w:val="24"/>
          <w:szCs w:val="24"/>
        </w:rPr>
      </w:pPr>
      <w:r w:rsidRPr="00D22435">
        <w:rPr>
          <w:rFonts w:ascii="Times New Roman" w:hAnsi="Times New Roman" w:cs="Times New Roman"/>
          <w:b/>
          <w:bCs/>
          <w:sz w:val="24"/>
          <w:szCs w:val="24"/>
        </w:rPr>
        <w:t>Video 8 – Criminal Defences Demystified</w:t>
      </w:r>
    </w:p>
    <w:p w14:paraId="1F85B391" w14:textId="77777777"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About this video</w:t>
      </w:r>
    </w:p>
    <w:p w14:paraId="65C186E7" w14:textId="2A4EA56C" w:rsidR="00395299" w:rsidRDefault="00395299" w:rsidP="00D22435">
      <w:pPr>
        <w:jc w:val="both"/>
        <w:rPr>
          <w:rFonts w:ascii="Times New Roman" w:hAnsi="Times New Roman" w:cs="Times New Roman"/>
          <w:sz w:val="24"/>
          <w:szCs w:val="24"/>
        </w:rPr>
      </w:pPr>
      <w:r w:rsidRPr="00395299">
        <w:rPr>
          <w:rFonts w:ascii="Times New Roman" w:hAnsi="Times New Roman" w:cs="Times New Roman"/>
          <w:sz w:val="24"/>
          <w:szCs w:val="24"/>
        </w:rPr>
        <w:t>This video explores the range of general and partial defences available in criminal law. You'll understand how defences like intoxication, self-defence, duress, loss of control, and diminished responsibility operate, and the different outcomes they produce</w:t>
      </w:r>
      <w:r>
        <w:rPr>
          <w:rFonts w:ascii="Times New Roman" w:hAnsi="Times New Roman" w:cs="Times New Roman"/>
          <w:sz w:val="24"/>
          <w:szCs w:val="24"/>
        </w:rPr>
        <w:t xml:space="preserve">, </w:t>
      </w:r>
      <w:r w:rsidRPr="00395299">
        <w:rPr>
          <w:rFonts w:ascii="Times New Roman" w:hAnsi="Times New Roman" w:cs="Times New Roman"/>
          <w:sz w:val="24"/>
          <w:szCs w:val="24"/>
        </w:rPr>
        <w:t>from full acquittal to a reduced conviction.</w:t>
      </w:r>
    </w:p>
    <w:p w14:paraId="468DD5C1" w14:textId="6A2698D1"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Key areas covered</w:t>
      </w:r>
    </w:p>
    <w:p w14:paraId="354178E8" w14:textId="05B2DE43" w:rsidR="00D22435" w:rsidRPr="00D22435" w:rsidRDefault="00D22435" w:rsidP="00D22435">
      <w:pPr>
        <w:pStyle w:val="ListParagraph"/>
        <w:numPr>
          <w:ilvl w:val="0"/>
          <w:numId w:val="2"/>
        </w:numPr>
        <w:jc w:val="both"/>
        <w:rPr>
          <w:rFonts w:ascii="Times New Roman" w:hAnsi="Times New Roman" w:cs="Times New Roman"/>
          <w:sz w:val="24"/>
          <w:szCs w:val="24"/>
        </w:rPr>
      </w:pPr>
      <w:r w:rsidRPr="00D22435">
        <w:rPr>
          <w:rFonts w:ascii="Times New Roman" w:hAnsi="Times New Roman" w:cs="Times New Roman"/>
          <w:sz w:val="24"/>
          <w:szCs w:val="24"/>
        </w:rPr>
        <w:t>Intoxication</w:t>
      </w:r>
    </w:p>
    <w:p w14:paraId="38335311" w14:textId="30F9E090" w:rsidR="00D22435" w:rsidRPr="00D22435" w:rsidRDefault="00D22435" w:rsidP="00D22435">
      <w:pPr>
        <w:pStyle w:val="ListParagraph"/>
        <w:numPr>
          <w:ilvl w:val="0"/>
          <w:numId w:val="2"/>
        </w:numPr>
        <w:jc w:val="both"/>
        <w:rPr>
          <w:rFonts w:ascii="Times New Roman" w:hAnsi="Times New Roman" w:cs="Times New Roman"/>
          <w:sz w:val="24"/>
          <w:szCs w:val="24"/>
        </w:rPr>
      </w:pPr>
      <w:r w:rsidRPr="00D22435">
        <w:rPr>
          <w:rFonts w:ascii="Times New Roman" w:hAnsi="Times New Roman" w:cs="Times New Roman"/>
          <w:sz w:val="24"/>
          <w:szCs w:val="24"/>
        </w:rPr>
        <w:t>Self-defence and duress</w:t>
      </w:r>
    </w:p>
    <w:p w14:paraId="2A7682F6" w14:textId="2875242F" w:rsidR="00D22435" w:rsidRPr="00D22435" w:rsidRDefault="00D22435" w:rsidP="00D22435">
      <w:pPr>
        <w:pStyle w:val="ListParagraph"/>
        <w:numPr>
          <w:ilvl w:val="0"/>
          <w:numId w:val="2"/>
        </w:numPr>
        <w:jc w:val="both"/>
        <w:rPr>
          <w:rFonts w:ascii="Times New Roman" w:hAnsi="Times New Roman" w:cs="Times New Roman"/>
          <w:sz w:val="24"/>
          <w:szCs w:val="24"/>
        </w:rPr>
      </w:pPr>
      <w:r w:rsidRPr="00D22435">
        <w:rPr>
          <w:rFonts w:ascii="Times New Roman" w:hAnsi="Times New Roman" w:cs="Times New Roman"/>
          <w:sz w:val="24"/>
          <w:szCs w:val="24"/>
        </w:rPr>
        <w:t>Loss of control and its triggers</w:t>
      </w:r>
    </w:p>
    <w:p w14:paraId="2F571AA3" w14:textId="1F8AF208" w:rsidR="00D22435" w:rsidRPr="00D22435" w:rsidRDefault="00D22435" w:rsidP="00D22435">
      <w:pPr>
        <w:pStyle w:val="ListParagraph"/>
        <w:numPr>
          <w:ilvl w:val="0"/>
          <w:numId w:val="2"/>
        </w:numPr>
        <w:jc w:val="both"/>
        <w:rPr>
          <w:rFonts w:ascii="Times New Roman" w:hAnsi="Times New Roman" w:cs="Times New Roman"/>
          <w:sz w:val="24"/>
          <w:szCs w:val="24"/>
        </w:rPr>
      </w:pPr>
      <w:r w:rsidRPr="00D22435">
        <w:rPr>
          <w:rFonts w:ascii="Times New Roman" w:hAnsi="Times New Roman" w:cs="Times New Roman"/>
          <w:sz w:val="24"/>
          <w:szCs w:val="24"/>
        </w:rPr>
        <w:t>Diminished responsibility and recognised medical conditions</w:t>
      </w:r>
    </w:p>
    <w:p w14:paraId="7AD2A7DC" w14:textId="77777777" w:rsidR="00D22435" w:rsidRDefault="00D22435" w:rsidP="00D22435">
      <w:pPr>
        <w:jc w:val="both"/>
        <w:rPr>
          <w:rFonts w:ascii="Times New Roman" w:hAnsi="Times New Roman" w:cs="Times New Roman"/>
          <w:sz w:val="24"/>
          <w:szCs w:val="24"/>
        </w:rPr>
      </w:pPr>
    </w:p>
    <w:p w14:paraId="5D91B5CE" w14:textId="77777777" w:rsidR="00D22435" w:rsidRPr="00D22435" w:rsidRDefault="00D22435" w:rsidP="00D22435">
      <w:pPr>
        <w:jc w:val="both"/>
        <w:rPr>
          <w:rFonts w:ascii="Times New Roman" w:hAnsi="Times New Roman" w:cs="Times New Roman"/>
          <w:b/>
          <w:bCs/>
          <w:sz w:val="24"/>
          <w:szCs w:val="24"/>
        </w:rPr>
      </w:pPr>
      <w:r w:rsidRPr="00D22435">
        <w:rPr>
          <w:rFonts w:ascii="Times New Roman" w:hAnsi="Times New Roman" w:cs="Times New Roman"/>
          <w:b/>
          <w:bCs/>
          <w:sz w:val="24"/>
          <w:szCs w:val="24"/>
        </w:rPr>
        <w:t>Video 9 – The Crime of Trying: A Guide to Attempted Offences</w:t>
      </w:r>
    </w:p>
    <w:p w14:paraId="39F88E95" w14:textId="77777777"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About this video</w:t>
      </w:r>
    </w:p>
    <w:p w14:paraId="2F828145" w14:textId="77777777" w:rsidR="00395299" w:rsidRDefault="00395299" w:rsidP="00D22435">
      <w:pPr>
        <w:jc w:val="both"/>
        <w:rPr>
          <w:rFonts w:ascii="Times New Roman" w:hAnsi="Times New Roman" w:cs="Times New Roman"/>
          <w:sz w:val="24"/>
          <w:szCs w:val="24"/>
        </w:rPr>
      </w:pPr>
      <w:r w:rsidRPr="00395299">
        <w:rPr>
          <w:rFonts w:ascii="Times New Roman" w:hAnsi="Times New Roman" w:cs="Times New Roman"/>
          <w:sz w:val="24"/>
          <w:szCs w:val="24"/>
        </w:rPr>
        <w:t>This final video explores the law of attempted offences, where a person takes steps towards committing a crime that is not completed. You'll learn the strict two-part test for an attempt and examine complex issues like factual impossibility and why a later change of heart does not erase criminal liability.</w:t>
      </w:r>
    </w:p>
    <w:p w14:paraId="14D92C8E" w14:textId="6C6D1318" w:rsidR="00D22435" w:rsidRPr="00D22435" w:rsidRDefault="00D22435" w:rsidP="00D22435">
      <w:pPr>
        <w:jc w:val="both"/>
        <w:rPr>
          <w:rFonts w:ascii="Times New Roman" w:hAnsi="Times New Roman" w:cs="Times New Roman"/>
          <w:sz w:val="24"/>
          <w:szCs w:val="24"/>
        </w:rPr>
      </w:pPr>
      <w:r w:rsidRPr="00D22435">
        <w:rPr>
          <w:rFonts w:ascii="Times New Roman" w:hAnsi="Times New Roman" w:cs="Times New Roman"/>
          <w:sz w:val="24"/>
          <w:szCs w:val="24"/>
        </w:rPr>
        <w:t>Key areas covered</w:t>
      </w:r>
    </w:p>
    <w:p w14:paraId="7D6E0341" w14:textId="2AD298FB" w:rsidR="007370FB" w:rsidRPr="007370FB" w:rsidRDefault="007370FB" w:rsidP="007370FB">
      <w:pPr>
        <w:pStyle w:val="ListParagraph"/>
        <w:numPr>
          <w:ilvl w:val="0"/>
          <w:numId w:val="11"/>
        </w:numPr>
        <w:jc w:val="both"/>
        <w:rPr>
          <w:rFonts w:ascii="Times New Roman" w:hAnsi="Times New Roman" w:cs="Times New Roman"/>
          <w:sz w:val="24"/>
          <w:szCs w:val="24"/>
        </w:rPr>
      </w:pPr>
      <w:r w:rsidRPr="007370FB">
        <w:rPr>
          <w:rFonts w:ascii="Times New Roman" w:hAnsi="Times New Roman" w:cs="Times New Roman"/>
          <w:sz w:val="24"/>
          <w:szCs w:val="24"/>
        </w:rPr>
        <w:t>Test for "more than merely preparatory" acts</w:t>
      </w:r>
    </w:p>
    <w:p w14:paraId="446D1827" w14:textId="6C438D4D" w:rsidR="007370FB" w:rsidRPr="007370FB" w:rsidRDefault="007370FB" w:rsidP="007370FB">
      <w:pPr>
        <w:pStyle w:val="ListParagraph"/>
        <w:numPr>
          <w:ilvl w:val="0"/>
          <w:numId w:val="11"/>
        </w:numPr>
        <w:jc w:val="both"/>
        <w:rPr>
          <w:rFonts w:ascii="Times New Roman" w:hAnsi="Times New Roman" w:cs="Times New Roman"/>
          <w:sz w:val="24"/>
          <w:szCs w:val="24"/>
        </w:rPr>
      </w:pPr>
      <w:r w:rsidRPr="007370FB">
        <w:rPr>
          <w:rFonts w:ascii="Times New Roman" w:hAnsi="Times New Roman" w:cs="Times New Roman"/>
          <w:sz w:val="24"/>
          <w:szCs w:val="24"/>
        </w:rPr>
        <w:t xml:space="preserve">High </w:t>
      </w:r>
      <w:proofErr w:type="spellStart"/>
      <w:r w:rsidRPr="007370FB">
        <w:rPr>
          <w:rFonts w:ascii="Times New Roman" w:hAnsi="Times New Roman" w:cs="Times New Roman"/>
          <w:sz w:val="24"/>
          <w:szCs w:val="24"/>
        </w:rPr>
        <w:t>mens</w:t>
      </w:r>
      <w:proofErr w:type="spellEnd"/>
      <w:r w:rsidRPr="007370FB">
        <w:rPr>
          <w:rFonts w:ascii="Times New Roman" w:hAnsi="Times New Roman" w:cs="Times New Roman"/>
          <w:sz w:val="24"/>
          <w:szCs w:val="24"/>
        </w:rPr>
        <w:t xml:space="preserve"> rea for attempt</w:t>
      </w:r>
    </w:p>
    <w:p w14:paraId="653EB95E" w14:textId="7690C50C" w:rsidR="007370FB" w:rsidRPr="007370FB" w:rsidRDefault="007370FB" w:rsidP="007370FB">
      <w:pPr>
        <w:pStyle w:val="ListParagraph"/>
        <w:numPr>
          <w:ilvl w:val="0"/>
          <w:numId w:val="11"/>
        </w:numPr>
        <w:jc w:val="both"/>
        <w:rPr>
          <w:rFonts w:ascii="Times New Roman" w:hAnsi="Times New Roman" w:cs="Times New Roman"/>
          <w:sz w:val="24"/>
          <w:szCs w:val="24"/>
        </w:rPr>
      </w:pPr>
      <w:r w:rsidRPr="007370FB">
        <w:rPr>
          <w:rFonts w:ascii="Times New Roman" w:hAnsi="Times New Roman" w:cs="Times New Roman"/>
          <w:sz w:val="24"/>
          <w:szCs w:val="24"/>
        </w:rPr>
        <w:t>Factual vs. legal impossibility</w:t>
      </w:r>
    </w:p>
    <w:p w14:paraId="5E602F46" w14:textId="325A3506" w:rsidR="00D22435" w:rsidRPr="007370FB" w:rsidRDefault="007370FB" w:rsidP="007370FB">
      <w:pPr>
        <w:pStyle w:val="ListParagraph"/>
        <w:numPr>
          <w:ilvl w:val="0"/>
          <w:numId w:val="11"/>
        </w:numPr>
        <w:jc w:val="both"/>
        <w:rPr>
          <w:rFonts w:ascii="Times New Roman" w:hAnsi="Times New Roman" w:cs="Times New Roman"/>
          <w:sz w:val="24"/>
          <w:szCs w:val="24"/>
        </w:rPr>
      </w:pPr>
      <w:r w:rsidRPr="007370FB">
        <w:rPr>
          <w:rFonts w:ascii="Times New Roman" w:hAnsi="Times New Roman" w:cs="Times New Roman"/>
          <w:sz w:val="24"/>
          <w:szCs w:val="24"/>
        </w:rPr>
        <w:t>Voluntary withdrawal is not a defence</w:t>
      </w:r>
    </w:p>
    <w:sectPr w:rsidR="00D22435" w:rsidRPr="007370FB">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F2440B"/>
    <w:multiLevelType w:val="hybridMultilevel"/>
    <w:tmpl w:val="5BE015C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 w15:restartNumberingAfterBreak="0">
    <w:nsid w:val="265A16AF"/>
    <w:multiLevelType w:val="hybridMultilevel"/>
    <w:tmpl w:val="F2F40E6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2C1C7366"/>
    <w:multiLevelType w:val="hybridMultilevel"/>
    <w:tmpl w:val="C5CE11C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3" w15:restartNumberingAfterBreak="0">
    <w:nsid w:val="33446D4A"/>
    <w:multiLevelType w:val="hybridMultilevel"/>
    <w:tmpl w:val="E114478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3CBD6AE3"/>
    <w:multiLevelType w:val="hybridMultilevel"/>
    <w:tmpl w:val="CFB61A1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3DDC5EA7"/>
    <w:multiLevelType w:val="hybridMultilevel"/>
    <w:tmpl w:val="07AA594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3F1974C6"/>
    <w:multiLevelType w:val="hybridMultilevel"/>
    <w:tmpl w:val="5E7411D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40F70D8A"/>
    <w:multiLevelType w:val="hybridMultilevel"/>
    <w:tmpl w:val="27F2D6C4"/>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436A09E9"/>
    <w:multiLevelType w:val="hybridMultilevel"/>
    <w:tmpl w:val="C8C49F5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673F3851"/>
    <w:multiLevelType w:val="hybridMultilevel"/>
    <w:tmpl w:val="8828F8E2"/>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75EA6E01"/>
    <w:multiLevelType w:val="hybridMultilevel"/>
    <w:tmpl w:val="C09223F8"/>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num w:numId="1" w16cid:durableId="1099519092">
    <w:abstractNumId w:val="2"/>
  </w:num>
  <w:num w:numId="2" w16cid:durableId="1993021108">
    <w:abstractNumId w:val="1"/>
  </w:num>
  <w:num w:numId="3" w16cid:durableId="297536299">
    <w:abstractNumId w:val="3"/>
  </w:num>
  <w:num w:numId="4" w16cid:durableId="99837235">
    <w:abstractNumId w:val="0"/>
  </w:num>
  <w:num w:numId="5" w16cid:durableId="2013677897">
    <w:abstractNumId w:val="6"/>
  </w:num>
  <w:num w:numId="6" w16cid:durableId="28528226">
    <w:abstractNumId w:val="4"/>
  </w:num>
  <w:num w:numId="7" w16cid:durableId="738134869">
    <w:abstractNumId w:val="9"/>
  </w:num>
  <w:num w:numId="8" w16cid:durableId="1640720091">
    <w:abstractNumId w:val="5"/>
  </w:num>
  <w:num w:numId="9" w16cid:durableId="212927242">
    <w:abstractNumId w:val="8"/>
  </w:num>
  <w:num w:numId="10" w16cid:durableId="795413156">
    <w:abstractNumId w:val="10"/>
  </w:num>
  <w:num w:numId="11" w16cid:durableId="558831311">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22435"/>
    <w:rsid w:val="00395299"/>
    <w:rsid w:val="005446D6"/>
    <w:rsid w:val="007370FB"/>
    <w:rsid w:val="007466B5"/>
    <w:rsid w:val="007C7563"/>
    <w:rsid w:val="009D5958"/>
    <w:rsid w:val="00A72064"/>
    <w:rsid w:val="00D22435"/>
  </w:rsids>
  <m:mathPr>
    <m:mathFont m:val="Cambria Math"/>
    <m:brkBin m:val="before"/>
    <m:brkBinSub m:val="--"/>
    <m:smallFrac m:val="0"/>
    <m:dispDef/>
    <m:lMargin m:val="0"/>
    <m:rMargin m:val="0"/>
    <m:defJc m:val="centerGroup"/>
    <m:wrapIndent m:val="1440"/>
    <m:intLim m:val="subSup"/>
    <m:naryLim m:val="undOvr"/>
  </m:mathPr>
  <w:themeFontLang w:val="en-NG"/>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C77ADF9"/>
  <w15:chartTrackingRefBased/>
  <w15:docId w15:val="{8352A5A8-41A3-4360-861B-BC6A42C1445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NG"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22435"/>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D22435"/>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D22435"/>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22435"/>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22435"/>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22435"/>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22435"/>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22435"/>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22435"/>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22435"/>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D22435"/>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D22435"/>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22435"/>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22435"/>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22435"/>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22435"/>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22435"/>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22435"/>
    <w:rPr>
      <w:rFonts w:eastAsiaTheme="majorEastAsia" w:cstheme="majorBidi"/>
      <w:color w:val="272727" w:themeColor="text1" w:themeTint="D8"/>
    </w:rPr>
  </w:style>
  <w:style w:type="paragraph" w:styleId="Title">
    <w:name w:val="Title"/>
    <w:basedOn w:val="Normal"/>
    <w:next w:val="Normal"/>
    <w:link w:val="TitleChar"/>
    <w:uiPriority w:val="10"/>
    <w:qFormat/>
    <w:rsid w:val="00D22435"/>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22435"/>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22435"/>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22435"/>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22435"/>
    <w:pPr>
      <w:spacing w:before="160"/>
      <w:jc w:val="center"/>
    </w:pPr>
    <w:rPr>
      <w:i/>
      <w:iCs/>
      <w:color w:val="404040" w:themeColor="text1" w:themeTint="BF"/>
    </w:rPr>
  </w:style>
  <w:style w:type="character" w:customStyle="1" w:styleId="QuoteChar">
    <w:name w:val="Quote Char"/>
    <w:basedOn w:val="DefaultParagraphFont"/>
    <w:link w:val="Quote"/>
    <w:uiPriority w:val="29"/>
    <w:rsid w:val="00D22435"/>
    <w:rPr>
      <w:i/>
      <w:iCs/>
      <w:color w:val="404040" w:themeColor="text1" w:themeTint="BF"/>
    </w:rPr>
  </w:style>
  <w:style w:type="paragraph" w:styleId="ListParagraph">
    <w:name w:val="List Paragraph"/>
    <w:basedOn w:val="Normal"/>
    <w:uiPriority w:val="34"/>
    <w:qFormat/>
    <w:rsid w:val="00D22435"/>
    <w:pPr>
      <w:ind w:left="720"/>
      <w:contextualSpacing/>
    </w:pPr>
  </w:style>
  <w:style w:type="character" w:styleId="IntenseEmphasis">
    <w:name w:val="Intense Emphasis"/>
    <w:basedOn w:val="DefaultParagraphFont"/>
    <w:uiPriority w:val="21"/>
    <w:qFormat/>
    <w:rsid w:val="00D22435"/>
    <w:rPr>
      <w:i/>
      <w:iCs/>
      <w:color w:val="2F5496" w:themeColor="accent1" w:themeShade="BF"/>
    </w:rPr>
  </w:style>
  <w:style w:type="paragraph" w:styleId="IntenseQuote">
    <w:name w:val="Intense Quote"/>
    <w:basedOn w:val="Normal"/>
    <w:next w:val="Normal"/>
    <w:link w:val="IntenseQuoteChar"/>
    <w:uiPriority w:val="30"/>
    <w:qFormat/>
    <w:rsid w:val="00D22435"/>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22435"/>
    <w:rPr>
      <w:i/>
      <w:iCs/>
      <w:color w:val="2F5496" w:themeColor="accent1" w:themeShade="BF"/>
    </w:rPr>
  </w:style>
  <w:style w:type="character" w:styleId="IntenseReference">
    <w:name w:val="Intense Reference"/>
    <w:basedOn w:val="DefaultParagraphFont"/>
    <w:uiPriority w:val="32"/>
    <w:qFormat/>
    <w:rsid w:val="00D22435"/>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TotalTime>
  <Pages>3</Pages>
  <Words>684</Words>
  <Characters>3905</Characters>
  <Application>Microsoft Office Word</Application>
  <DocSecurity>0</DocSecurity>
  <Lines>32</Lines>
  <Paragraphs>9</Paragraphs>
  <ScaleCrop>false</ScaleCrop>
  <Company/>
  <LinksUpToDate>false</LinksUpToDate>
  <CharactersWithSpaces>4580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Kehinde Ajewole</dc:creator>
  <cp:keywords/>
  <dc:description/>
  <cp:lastModifiedBy>Kehinde Ajewole</cp:lastModifiedBy>
  <cp:revision>3</cp:revision>
  <dcterms:created xsi:type="dcterms:W3CDTF">2025-12-30T12:35:00Z</dcterms:created>
  <dcterms:modified xsi:type="dcterms:W3CDTF">2025-12-30T15:12:00Z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325908b9-ae6c-46bc-9844-2cf5423f583b</vt:lpwstr>
  </property>
</Properties>
</file>