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1 - The Foundation of Trust and Compliance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introduces the fundamental duty of stewardship and the regulatory framework that governs solicitors' accounts. You will explore the ethical reasons behind the rules, focusing on the solicitor’s role as a fiduciary trustee for client funds. The session also demystifies the essential accounting concept of double-entry bookkeeping, specifically breaking down debits and credits. </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Duty of stewardship </w:t>
      </w:r>
    </w:p>
    <w:p w:rsidR="00000000" w:rsidDel="00000000" w:rsidP="00000000" w:rsidRDefault="00000000" w:rsidRPr="00000000" w14:paraId="00000008">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SRA Accounts Rules </w:t>
      </w:r>
    </w:p>
    <w:p w:rsidR="00000000" w:rsidDel="00000000" w:rsidP="00000000" w:rsidRDefault="00000000" w:rsidRPr="00000000" w14:paraId="00000009">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Fiduciary responsibility </w:t>
      </w:r>
    </w:p>
    <w:p w:rsidR="00000000" w:rsidDel="00000000" w:rsidP="00000000" w:rsidRDefault="00000000" w:rsidRPr="00000000" w14:paraId="0000000A">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Double-entry bookkeeping </w:t>
      </w:r>
    </w:p>
    <w:p w:rsidR="00000000" w:rsidDel="00000000" w:rsidP="00000000" w:rsidRDefault="00000000" w:rsidRPr="00000000" w14:paraId="0000000B">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2 - Defining and Handling Client Money</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focuses on the precise identification and handling of client money according to statutory definitions. You will learn how to distinguish between client money and office money to ensure absolute compliance from the moment funds are received. We break down various practical scenarios, such as handling fees and disbursements received in advance. </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Statutory definition of client money </w:t>
      </w:r>
    </w:p>
    <w:p w:rsidR="00000000" w:rsidDel="00000000" w:rsidP="00000000" w:rsidRDefault="00000000" w:rsidRPr="00000000" w14:paraId="00000013">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 money and office money </w:t>
      </w:r>
    </w:p>
    <w:p w:rsidR="00000000" w:rsidDel="00000000" w:rsidP="00000000" w:rsidRDefault="00000000" w:rsidRPr="00000000" w14:paraId="00000014">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disbursements</w:t>
      </w:r>
    </w:p>
    <w:p w:rsidR="00000000" w:rsidDel="00000000" w:rsidP="00000000" w:rsidRDefault="00000000" w:rsidRPr="00000000" w14:paraId="00000015">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Accounting entries </w:t>
      </w:r>
    </w:p>
    <w:p w:rsidR="00000000" w:rsidDel="00000000" w:rsidP="00000000" w:rsidRDefault="00000000" w:rsidRPr="00000000" w14:paraId="00000016">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3 - The Client Account: A Protected Environment</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chapter explores the "Client Account," a legally protected environment that operates as a statutory trust for client funds. You will learn about the strict rules for operating these accounts, including naming conventions and the prohibition on using them as a banking facility. We also walk through the list of permitted withdrawals and the necessity of appropriate authorization.</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Concept of statutory trust</w:t>
      </w:r>
    </w:p>
    <w:p w:rsidR="00000000" w:rsidDel="00000000" w:rsidP="00000000" w:rsidRDefault="00000000" w:rsidRPr="00000000" w14:paraId="0000001E">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Prohibition on banking facility </w:t>
      </w:r>
    </w:p>
    <w:p w:rsidR="00000000" w:rsidDel="00000000" w:rsidP="00000000" w:rsidRDefault="00000000" w:rsidRPr="00000000" w14:paraId="0000001F">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Permitted withdrawals </w:t>
      </w:r>
    </w:p>
    <w:p w:rsidR="00000000" w:rsidDel="00000000" w:rsidP="00000000" w:rsidRDefault="00000000" w:rsidRPr="00000000" w14:paraId="00000020">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Payment accounting entries </w:t>
      </w:r>
    </w:p>
    <w:p w:rsidR="00000000" w:rsidDel="00000000" w:rsidP="00000000" w:rsidRDefault="00000000" w:rsidRPr="00000000" w14:paraId="00000021">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4 - Separation of Funds and Accounting Records</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details the practical systems used to maintain absolute segregation between client and office money. You will learn about the critical role of the office account, the client ledger, and the three-tier reconciliation system. The session covers the correct procedure for handling mixed receipts and the importance of timely record-keeping. </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 segregation </w:t>
      </w:r>
    </w:p>
    <w:p w:rsidR="00000000" w:rsidDel="00000000" w:rsidP="00000000" w:rsidRDefault="00000000" w:rsidRPr="00000000" w14:paraId="00000029">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Managing mixed receipts </w:t>
      </w:r>
    </w:p>
    <w:p w:rsidR="00000000" w:rsidDel="00000000" w:rsidP="00000000" w:rsidRDefault="00000000" w:rsidRPr="00000000" w14:paraId="0000002A">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bank reconciliation process </w:t>
      </w:r>
    </w:p>
    <w:p w:rsidR="00000000" w:rsidDel="00000000" w:rsidP="00000000" w:rsidRDefault="00000000" w:rsidRPr="00000000" w14:paraId="0000002B">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importance of the client ledger </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5 - Interest on Client Money</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chapter addresses the ethical and regulatory duty to account for interest earned on client money. It explains the SRA requirement to pay a "fair sum" of interest and the criteria used to determine what constitutes fairness. We discuss the different methods for holding money, such as general and designated accounts, and the practical steps for calculation. </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Duty to pay a "fair sum" of interest </w:t>
      </w:r>
    </w:p>
    <w:p w:rsidR="00000000" w:rsidDel="00000000" w:rsidP="00000000" w:rsidRDefault="00000000" w:rsidRPr="00000000" w14:paraId="00000034">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 vs. Separate Accounts </w:t>
      </w:r>
    </w:p>
    <w:p w:rsidR="00000000" w:rsidDel="00000000" w:rsidP="00000000" w:rsidRDefault="00000000" w:rsidRPr="00000000" w14:paraId="00000035">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Written interest policy </w:t>
      </w:r>
    </w:p>
    <w:p w:rsidR="00000000" w:rsidDel="00000000" w:rsidP="00000000" w:rsidRDefault="00000000" w:rsidRPr="00000000" w14:paraId="00000036">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Practical calculation </w:t>
      </w:r>
    </w:p>
    <w:p w:rsidR="00000000" w:rsidDel="00000000" w:rsidP="00000000" w:rsidRDefault="00000000" w:rsidRPr="00000000" w14:paraId="00000037">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6 - Breaches of the SRA Accounts Rules</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confronts the reality of breaches. You will learn how to identify different types of breaches and the mandatory steps for immediate rectification. We explain the critical role of the COFA (Compliance Officer for Finance and Administration) and the requirements for maintaining a breach register. </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vs. substantive breaches </w:t>
      </w:r>
    </w:p>
    <w:p w:rsidR="00000000" w:rsidDel="00000000" w:rsidP="00000000" w:rsidRDefault="00000000" w:rsidRPr="00000000" w14:paraId="0000003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 of COFA in compliance </w:t>
      </w:r>
    </w:p>
    <w:p w:rsidR="00000000" w:rsidDel="00000000" w:rsidP="00000000" w:rsidRDefault="00000000" w:rsidRPr="00000000" w14:paraId="0000004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Correcting overdrawn ledgers </w:t>
      </w:r>
    </w:p>
    <w:p w:rsidR="00000000" w:rsidDel="00000000" w:rsidP="00000000" w:rsidRDefault="00000000" w:rsidRPr="00000000" w14:paraId="0000004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Breach Register </w:t>
      </w:r>
    </w:p>
    <w:p w:rsidR="00000000" w:rsidDel="00000000" w:rsidP="00000000" w:rsidRDefault="00000000" w:rsidRPr="00000000" w14:paraId="0000004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7 - Client Ledgers, Bills, and Reconciliation</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chapter covers the operational heart of solicitors' accounts: the daily management of ledgers and the billing process. You will learn the deep structure of the client ledger, including the distinction between client and business columns. The video explores the "reconciliation trinity" and the proper procedures for handling disbursements and VAT. </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Structure of the Client Ledger </w:t>
      </w:r>
    </w:p>
    <w:p w:rsidR="00000000" w:rsidDel="00000000" w:rsidP="00000000" w:rsidRDefault="00000000" w:rsidRPr="00000000" w14:paraId="0000004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reconciliation trinity </w:t>
      </w:r>
    </w:p>
    <w:p w:rsidR="00000000" w:rsidDel="00000000" w:rsidP="00000000" w:rsidRDefault="00000000" w:rsidRPr="00000000" w14:paraId="0000004B">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Accounting for disbursements and VAT </w:t>
      </w:r>
    </w:p>
    <w:p w:rsidR="00000000" w:rsidDel="00000000" w:rsidP="00000000" w:rsidRDefault="00000000" w:rsidRPr="00000000" w14:paraId="0000004C">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Money transfer procedure </w:t>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8 - Specific Account Arrangements</w:t>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 </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alternative ways to manage client-related funds outside the traditional client account structure. We examine three key arrangements: joint accounts, client-operated accounts, and Third-Party Managed Accounts (TPMAs). You will learn the distinct regulatory considerations and practical safeguards for each. </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Joint accounts and shared control </w:t>
      </w:r>
    </w:p>
    <w:p w:rsidR="00000000" w:rsidDel="00000000" w:rsidP="00000000" w:rsidRDefault="00000000" w:rsidRPr="00000000" w14:paraId="00000055">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Client-operated accounts </w:t>
      </w:r>
    </w:p>
    <w:p w:rsidR="00000000" w:rsidDel="00000000" w:rsidP="00000000" w:rsidRDefault="00000000" w:rsidRPr="00000000" w14:paraId="00000056">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Third-Party Managed Accounts </w:t>
      </w:r>
    </w:p>
    <w:p w:rsidR="00000000" w:rsidDel="00000000" w:rsidP="00000000" w:rsidRDefault="00000000" w:rsidRPr="00000000" w14:paraId="00000057">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Non-traditional accounts Safeguards</w:t>
      </w:r>
    </w:p>
    <w:p w:rsidR="00000000" w:rsidDel="00000000" w:rsidP="00000000" w:rsidRDefault="00000000" w:rsidRPr="00000000" w14:paraId="0000005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9 - Compliance, Reporting, and Record Retention</w:t>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final video in the series focuses on the systems that demonstrate a firm's financial integrity and regulatory compliance. We explore the annual accountant’s report, the six-year record retention rule, and how to prepare for an SRA audit. You will learn the importance of maintaining organized, accessible records and the consequences of failing to meet reporting obligations. </w:t>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Accountant’s Report </w:t>
      </w:r>
    </w:p>
    <w:p w:rsidR="00000000" w:rsidDel="00000000" w:rsidP="00000000" w:rsidRDefault="00000000" w:rsidRPr="00000000" w14:paraId="00000061">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SRA reporting requirements </w:t>
      </w:r>
    </w:p>
    <w:p w:rsidR="00000000" w:rsidDel="00000000" w:rsidP="00000000" w:rsidRDefault="00000000" w:rsidRPr="00000000" w14:paraId="00000062">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rule for record retention</w:t>
      </w:r>
    </w:p>
    <w:p w:rsidR="00000000" w:rsidDel="00000000" w:rsidP="00000000" w:rsidRDefault="00000000" w:rsidRPr="00000000" w14:paraId="00000063">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Response to SRA audit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