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lfuom96v1nh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PROPERTY PRACTICE FLASHCARDS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zuq77diwf6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1: THE FREEHOLD TRANSACTION ROADMAP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objective of the pre-contract stage in a freehold transaction?</w:t>
        <w:br w:type="textWrapping"/>
        <w:t xml:space="preserve">A: To conduct due diligence, verify identity (AML), investigate title, raise enquiries, and order searches before the parties are legally bound.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doctrine of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caveat emptor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how does it affect property transactions?</w:t>
        <w:br w:type="textWrapping"/>
        <w:t xml:space="preserve">A: “Let the buyer beware.” The buyer bears responsibility for investigating the property’s physical and legal condition. The seller has no duty to disclose defects unless asked.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effect of exchanging contracts in a property transaction?</w:t>
        <w:br w:type="textWrapping"/>
        <w:t xml:space="preserve">A: It makes the agreement legally binding. The buyer assumes risk, must insure the property, and both parties are obligated to complete on the agreed date.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pre-completion searches?</w:t>
        <w:br w:type="textWrapping"/>
        <w:t xml:space="preserve">A: To confirm no adverse changes (e.g., new charges, bankruptcy) have occurred since the initial search and to protect the buyer’s priority to register.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TR1 form in a property transaction?</w:t>
        <w:br w:type="textWrapping"/>
        <w:t xml:space="preserve">A: It is the transfer deed that legally transfers ownership from seller to buyer upon completion. It must be executed as a deed and submitted to the Land Registry.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key responsibilities of the buyer’s solicitor during completion?</w:t>
        <w:br w:type="textWrapping"/>
        <w:t xml:space="preserve">A: To transfer funds, confirm receipt of keys, date the TR1, and begin post-completion tasks like SDLT payment and registration.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“stakeholder” and “agent” in deposit handling?</w:t>
        <w:br w:type="textWrapping"/>
        <w:t xml:space="preserve">A: As stakeholder, the solicitor holds the deposit neutrally until completion. As agent, they can release it to the seller earlier—a riskier arrangement for the buyer.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Completion Statement?</w:t>
        <w:br w:type="textWrapping"/>
        <w:t xml:space="preserve">A: To detail the final financial settlement, including purchase price, deposit, taxes, fees, and apportionments, ensuring all parties know what is due.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main post-completion tasks for the buyer’s solicitor?</w:t>
        <w:br w:type="textWrapping"/>
        <w:t xml:space="preserve">A: Pay SDLT/LTT, register the title at HM Land Registry, discharge the seller’s mortgage (via undertakings), and report to the client and lender.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“priority period” from an OS1 search?</w:t>
        <w:br w:type="textWrapping"/>
        <w:t xml:space="preserve">A: It protects the buyer’s application to register for 30 working days, preventing others from registering interests ahead of them.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standard conditions typically govern residential conveyancing contracts?</w:t>
        <w:br w:type="textWrapping"/>
        <w:t xml:space="preserve">A: The Standard Conditions of Sale (5th Edition) for residential transactions.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“full title guarantee” and “limited title guarantee”?</w:t>
        <w:br w:type="textWrapping"/>
        <w:t xml:space="preserve">A: Full guarantees the seller has right to sell and property is free from encumbrances except those disclosed. Limited only guarantees the seller hasn’t created encumbrances during ownership.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does risk in the property pass from seller to buyer under the Standard Conditions?</w:t>
        <w:br w:type="textWrapping"/>
        <w:t xml:space="preserve">A: At exchange of contracts, unless otherwise agreed. The buyer must insure from that moment.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raising pre-contract enquiries (e.g., TA6 form)?</w:t>
        <w:br w:type="textWrapping"/>
        <w:t xml:space="preserve">A: To obtain detailed information from the seller about boundaries, disputes, planning, occupancy, and other material issues affecting the property.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key searches are typically conducted before exchange of contracts?</w:t>
        <w:br w:type="textWrapping"/>
        <w:t xml:space="preserve">A: Local Authority, Drainage &amp; Water, Environmental, Chancel Repair, and others (e.g., coal mining, flood) depending on location.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consequence if a buyer fails to complete on the agreed date?</w:t>
        <w:br w:type="textWrapping"/>
        <w:t xml:space="preserve">A: The seller can serve a Notice to Complete, charge interest, forfeit the deposit, and claim damages or seek specific performance.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solicitor’s key professional conduct duties in conveyancing?</w:t>
        <w:br w:type="textWrapping"/>
        <w:t xml:space="preserve">A: Avoid conflicts of interest, maintain confidentiality, honour undertakings, act in the client’s best interests, and comply with AML regulations.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UK Finance Mortgage Lenders’ Handbook?</w:t>
        <w:br w:type="textWrapping"/>
        <w:t xml:space="preserve">A: To set out instructions solicitors must follow when acting for lenders, including requirements for title, searches, and reporting of issues.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registered and unregistered land in terms of proving title?</w:t>
        <w:br w:type="textWrapping"/>
        <w:t xml:space="preserve">A: Registered land uses Land Registry records (official copies). Unregistered land requires an epitome of title tracing ownership back at least 15 years.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planning and building regulations in a transaction?</w:t>
        <w:br w:type="textWrapping"/>
        <w:t xml:space="preserve">A: To alert the buyer to potential issues, check for breaches, and advise on the need for permissions or regularisation.</w:t>
      </w:r>
    </w:p>
    <w:p w:rsidR="00000000" w:rsidDel="00000000" w:rsidP="00000000" w:rsidRDefault="00000000" w:rsidRPr="00000000" w14:paraId="00000017">
      <w:pPr>
        <w:shd w:fill="ffffff" w:val="clear"/>
        <w:spacing w:line="42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2: ETHICS AND RISK MANAGEMENT IN CONVEYANCING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ethical duty of a solicitor under the SRA Principles?</w:t>
        <w:br w:type="textWrapping"/>
        <w:t xml:space="preserve">A: To act with integrity, in the best interests of each client, and in a way that upholds public trust in the profession.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is dual representation (acting for both buyer and seller) generally prohibited?</w:t>
        <w:br w:type="textWrapping"/>
        <w:t xml:space="preserve">A: In residential conveyancing due to inherent conflicts of interest, unless exceptional circumstances exist and informed consent is obtained.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solicitor do before acting for both a buyer and a lender?</w:t>
        <w:br w:type="textWrapping"/>
        <w:t xml:space="preserve">A: Obtain written informed consent from both parties, disclose all material risks, and ensure compliance with the UK Finance Mortgage Lenders’ Handbook.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Etridge Guidelines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designed to prevent?</w:t>
        <w:br w:type="textWrapping"/>
        <w:t xml:space="preserve">A: Undue influence, particularly where one party (e.g., a spouse) may be pressured into signing a mortgage without independent advice.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solicitor’s duty regarding client confidentiality under the SRA Code?</w:t>
        <w:br w:type="textWrapping"/>
        <w:t xml:space="preserve">A: To protect client information unless disclosure is required by law, consented to by the client, or necessary to prevent a serious crime.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professional undertaking and why is it binding?</w:t>
        <w:br w:type="textWrapping"/>
        <w:t xml:space="preserve">A: A formal promise by a solicitor, enforceable by courts and the SRA, often used in conveyancing to secure actions like mortgage discharges.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“contract race” and what must the seller’s solicitor disclose?</w:t>
        <w:br w:type="textWrapping"/>
        <w:t xml:space="preserve">A: A situation where a seller negotiates with multiple buyers. The solicitor must inform all prospective buyers of the race to avoid misleading any party.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key components of Client Due Diligence under AML regulations?</w:t>
        <w:br w:type="textWrapping"/>
        <w:t xml:space="preserve">A: Verify identity, source of funds, source of wealth, and assess the transaction’s legitimacy before establishing a business relationship.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must a solicitor submit a Suspicious Activity Report?</w:t>
        <w:br w:type="textWrapping"/>
        <w:t xml:space="preserve">A: When they know, suspect, or have reasonable grounds to suspect that a person is involved in money laundering or terrorist financing.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“tipping off” and why is it prohibited?</w:t>
        <w:br w:type="textWrapping"/>
        <w:t xml:space="preserve">A: Informing a client that a SAR has been filed. It is a criminal offence under POCA as it may prejudice an investigation.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common fraud risks exist in property transactions?</w:t>
        <w:br w:type="textWrapping"/>
        <w:t xml:space="preserve">A: Impersonation fraud, title fraud, vendor fraud, mortgage fraud, and cybercrime such as email interception to divert funds.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 Money Laundering Reporting Officer?</w:t>
        <w:br w:type="textWrapping"/>
        <w:t xml:space="preserve">A: To oversee the firm’s AML compliance, receive internal reports, and submit SARs to the NCA where necessary.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safeguards should be implemented when acting for co-purchasers?</w:t>
        <w:br w:type="textWrapping"/>
        <w:t xml:space="preserve">A: Explain forms of co-ownership, recommend a declaration of trust, and ensure both clients understand survivorship and severance implications.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solicitor do if a conflict arises during a transaction?</w:t>
        <w:br w:type="textWrapping"/>
        <w:t xml:space="preserve">A: Cease acting for one or both parties immediately, unless the conflict is manageable with informed consent and safeguards.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information barriers (“Chinese Walls”)?</w:t>
        <w:br w:type="textWrapping"/>
        <w:t xml:space="preserve">A: To separate teams within a firm to prevent confidential information passing between them, used in limited multi-party scenarios.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a client resists providing source of funds evidence?</w:t>
        <w:br w:type="textWrapping"/>
        <w:t xml:space="preserve">A: Treat it as a red flag, escalate internally, and consider declining to act if compliance cannot be achieved.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when receiving a gifted deposit?</w:t>
        <w:br w:type="textWrapping"/>
        <w:t xml:space="preserve">A: Notify the lender, obtain a gift letter confirming no beneficial interest is retained, and verify the donor’s identity.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consequences of breaching an undertaking?</w:t>
        <w:br w:type="textWrapping"/>
        <w:t xml:space="preserve">A: Personal liability, disciplinary action by the SRA, and potential court enforcement.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they suspect a client is being unduly influenced?</w:t>
        <w:br w:type="textWrapping"/>
        <w:t xml:space="preserve">A: Ensure the vulnerable party receives independent legal advice in private and confirm their understanding and consent in writing.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overriding principle in managing conflicts between confidentiality and disclosure?</w:t>
        <w:br w:type="textWrapping"/>
        <w:t xml:space="preserve">A: If the duty to one client requires disclosure that breaches confidentiality to another, the solicitor must cease acting for the relevant clients.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fone113a96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3: TITLE INVESTIGATION; EXAMINING OWNERSHIP AND RIGHTS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objective of title investigation?</w:t>
        <w:br w:type="textWrapping"/>
        <w:t xml:space="preserve">A: To ensure the seller has good and marketable title, identify burdens affecting the land, and protect the buyer’s and lender’s interests.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registered and unregistered land?</w:t>
        <w:br w:type="textWrapping"/>
        <w:t xml:space="preserve">A: Registered land has state-guaranteed title recorded at HM Land Registry; unregistered land relies on a chain of title deeds.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parts of the Land Registry register for registered land?</w:t>
        <w:br w:type="textWrapping"/>
        <w:t xml:space="preserve">A: Proprietorship Register (owner and restrictions), Property Register (description and beneficial rights), Charges Register (burdens like mortgages and covenants).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“overriding interest” and why is it important?</w:t>
        <w:br w:type="textWrapping"/>
        <w:t xml:space="preserve">A: A right that binds a buyer even if not on the register, e.g., short leases, rights of persons in actual occupation. It must be investigated through inspection and enquiries.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legal and equitable interests?</w:t>
        <w:br w:type="textWrapping"/>
        <w:t xml:space="preserve">A: Legal interests are recognised at law and usually registered; equitable interests (e.g., under a trust) may bind if protected by notice or actual occupation.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actual occupation under Schedule 3 LRA 2002?</w:t>
        <w:br w:type="textWrapping"/>
        <w:t xml:space="preserve">A: A person in actual occupation with an equitable interest may have an overriding interest that binds a buyer, even if unregistered.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is title indemnity insurance typically used?</w:t>
        <w:br w:type="textWrapping"/>
        <w:t xml:space="preserve">A: To cover defects that cannot easily be remedied (e.g., missing documents, breach of covenant) where the risk is acceptable to the lender and parties.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restrictive covenant and how does it affect a buyer?</w:t>
        <w:br w:type="textWrapping"/>
        <w:t xml:space="preserve">A: A promise restricting land use (e.g., no business use). It binds successors if touching and concerning the land and properly registered.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positive covenant and why is it harder to enforce against successors?</w:t>
        <w:br w:type="textWrapping"/>
        <w:t xml:space="preserve">A: An obligation to do something (e.g., maintain a fence). It does not automatically run with the land; enforcement often requires a chain of indemnity covenants.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an OS1 priority search?</w:t>
        <w:br w:type="textWrapping"/>
        <w:t xml:space="preserve">A: To protect the buyer’s intended registration for 30 working days, preventing others from registering competing interests.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solicitor do if they discover an occupier not on the title?</w:t>
        <w:br w:type="textWrapping"/>
        <w:t xml:space="preserve">A: Obtain an occupier consent form confirming they have no beneficial interest and will vacate, or report the risk to the lender.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common classes of title and which is most secure?</w:t>
        <w:br w:type="textWrapping"/>
        <w:t xml:space="preserve">A: Absolute (best), possessory, qualified. Absolute title is state-guaranteed and standard for residential freeholds.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when acting for both buyer and lender?</w:t>
        <w:br w:type="textWrapping"/>
        <w:t xml:space="preserve">A: To comply with the UK Finance Mortgage Lenders’ Handbook, report title defects, and ensure the lender’s charge is a first legal charge.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root of title requirement for unregistered land?</w:t>
        <w:br w:type="textWrapping"/>
        <w:t xml:space="preserve">A: A conveyance or deed at least 15 years old that clearly describes the property and shows ownership without defect.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unilateral notice on the charges register?</w:t>
        <w:br w:type="textWrapping"/>
        <w:t xml:space="preserve">A: An entry made without the owner’s consent, indicating a disputed claim or third-party interest that requires investigation.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schedule of deeds for unregistered land?</w:t>
        <w:br w:type="textWrapping"/>
        <w:t xml:space="preserve">A: To list all documents proving title, enabling the buyer’s solicitor to verify the seller’s ownership and identify missing links.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effect of a Form A restriction?</w:t>
        <w:br w:type="textWrapping"/>
        <w:t xml:space="preserve">A: It indicates co-ownership under a trust of land. The buyer must ensure purchase money is paid to at least two trustees to overreach beneficial interests.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environmental risks?</w:t>
        <w:br w:type="textWrapping"/>
        <w:t xml:space="preserve">A: To order environmental searches, advise on contaminated land liability under the Environmental Protection Act 1990, and recommend further reports if needed.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Property Register’s title plan?</w:t>
        <w:br w:type="textWrapping"/>
        <w:t xml:space="preserve">A: It defines the property’s boundaries with a red line. The solicitor must compare it with physical features to check for discrepancies or encroachments.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c6gxz1cut3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4: PRE-CONTRACT ENQUIRIES AND SEARCHES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pre-contract enquiries and searches?</w:t>
        <w:br w:type="textWrapping"/>
        <w:t xml:space="preserve">A: To uncover legal, physical, and environmental risks not apparent from the title, enabling informed decision-making before exchange.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the Local Authority Search (CON29) reveal?</w:t>
        <w:br w:type="textWrapping"/>
        <w:t xml:space="preserve">A: Planning permissions, building regulations consents, enforcement notices, road adoption status, and other statutory restrictions.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an Environmental Search crucial?</w:t>
        <w:br w:type="textWrapping"/>
        <w:t xml:space="preserve">A: It identifies risks like contamination, flooding, and subsidence. Buyers may inherit liability for clean-up under the Environmental Protection Act 1990.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chancel repair liability and how is it addressed?</w:t>
        <w:br w:type="textWrapping"/>
        <w:t xml:space="preserve">A: A historic obligation to fund church repairs. A search identifies risk; indemnity insurance is often taken to cover potential liability.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TA6 Property Information Form and who completes it?</w:t>
        <w:br w:type="textWrapping"/>
        <w:t xml:space="preserve">A: A standard form completed by the seller disclosing boundaries, disputes, planning history, and other material information about the property.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caveat emptor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how does it affect buyer due diligence?</w:t>
        <w:br w:type="textWrapping"/>
        <w:t xml:space="preserve">A: “Let the buyer beware.” The buyer must investigate; the seller has no duty to disclose defects unless asked. Solicitors must raise detailed enquiries.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 fixture and a chattel?</w:t>
        <w:br w:type="textWrapping"/>
        <w:t xml:space="preserve">A: Fixtures are attached to the property and pass with it; chattels are movable items and must be expressly included in the sale (TA10 form).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 drainage and water search (CON29DW) important?</w:t>
        <w:br w:type="textWrapping"/>
        <w:t xml:space="preserve">A: It confirms connection to mains, reveals public sewers on the land, and identifies maintenance responsibilities, affecting development potential.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search results reveal a planning breach?</w:t>
        <w:br w:type="textWrapping"/>
        <w:t xml:space="preserve">A: Advise the client, consider indemnity insurance, request retrospective consent, negotiate a price reduction, or report to the lender.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company search when the seller is a company?</w:t>
        <w:br w:type="textWrapping"/>
        <w:t xml:space="preserve">A: To verify the company’s existence, authority to sell, and identify any charges that must be discharged on completion.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bankruptcy search (K16) and when is it conducted?</w:t>
        <w:br w:type="textWrapping"/>
        <w:t xml:space="preserve">A: A search against an individual buyer/borrower to confirm they are not bankrupt, usually done just before completion.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optional searches and when might they be needed?</w:t>
        <w:br w:type="textWrapping"/>
        <w:t xml:space="preserve">A: Location-specific searches like coal mining, radon, HS2, or commons registration, advised based on property location and type.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survey advice?</w:t>
        <w:br w:type="textWrapping"/>
        <w:t xml:space="preserve">A: To recommend a survey (e.g., RICS HomeBuyer Report) and clarify that legal searches do not cover structural condition.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risk of relying solely on seller disclosures?</w:t>
        <w:br w:type="textWrapping"/>
        <w:t xml:space="preserve">A: Disclosures are not guaranteed and are subject to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caveat emptor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Independent verification via searches and surveys is essential.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should a solicitor manage client expectations regarding search limitations?</w:t>
        <w:br w:type="textWrapping"/>
        <w:t xml:space="preserve">A: Clearly explain in writing what searches do and do not cover, advise on need for surveys, and document all warnings given.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seller’s solicitor’s duty when replying to pre-contract enquiries?</w:t>
        <w:br w:type="textWrapping"/>
        <w:t xml:space="preserve">A: To provide accurate, complete, and truthful replies based on instructions; misleading replies can lead to misrepresentation claims.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TA7 Leasehold Information Form?</w:t>
        <w:br w:type="textWrapping"/>
        <w:t xml:space="preserve">A: For leasehold properties, it provides key details on ground rent, service charges, lease term, and management company.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a search reveals an unadopted road?</w:t>
        <w:br w:type="textWrapping"/>
        <w:t xml:space="preserve">A: Advise the client of potential maintenance costs, check for adoption agreements, and consider indemnity insurance if no enforceable maintenance arrangement exists.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the Index Map search (SIM)?</w:t>
        <w:br w:type="textWrapping"/>
        <w:t xml:space="preserve">A: To confirm whether land is registered, identify title numbers, and check for any overlapping titles or cautions.</w:t>
      </w:r>
    </w:p>
    <w:p w:rsidR="00000000" w:rsidDel="00000000" w:rsidP="00000000" w:rsidRDefault="00000000" w:rsidRPr="00000000" w14:paraId="00000055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di55co70eo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5: CONTRACT NEGOTIATION, EXCHANGE AND COMPLETION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Standard Conditions of Sale (SC) used for?</w:t>
        <w:br w:type="textWrapping"/>
        <w:t xml:space="preserve">A: As the default contract terms for residential conveyancing, covering deposit, risk, completion, and title guarantee.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SC and SCPC regarding risk?</w:t>
        <w:br w:type="textWrapping"/>
        <w:t xml:space="preserve">A: Under SC, risk passes to buyer on exchange; under SCPC (commercial), risk usually remains with seller until completion.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contract include to be legally valid?</w:t>
        <w:br w:type="textWrapping"/>
        <w:t xml:space="preserve">A: Parties, property description, price, deposit, completion date, title guarantee, and incorporation of standard conditions.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special conditions in a contract?</w:t>
        <w:br w:type="textWrapping"/>
        <w:t xml:space="preserve">A: To address transaction-specific issues like retention for repairs, conditional completion, or bespoke indemnity obligations.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effect of exchange of contracts?</w:t>
        <w:br w:type="textWrapping"/>
        <w:t xml:space="preserve">A: Creates a binding contract; buyer gets equitable interest, seller holds legal title on trust; risk passes; remedies for breach arise.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Law Society’s formulae for exchange?</w:t>
        <w:br w:type="textWrapping"/>
        <w:t xml:space="preserve">A: Formula A (one solicitor holds both parts), Formula B (telephone exchange with immediate posting), Formula C (simultaneous chain exchange).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authority must a solicitor have before exchanging contracts?</w:t>
        <w:br w:type="textWrapping"/>
        <w:t xml:space="preserve">A: Explicit client authority, confirmed in writing, with client understanding of implications and confirmation of funds and mortgage offer.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completion date being “of the essence”?</w:t>
        <w:br w:type="textWrapping"/>
        <w:t xml:space="preserve">A: Time is critical; failure to complete on the exact date is a repudiatory breach, allowing termination and claims.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the TR1 transfer deed?</w:t>
        <w:br w:type="textWrapping"/>
        <w:t xml:space="preserve">A: To legally transfer the legal title from seller to buyer upon completion; it must be executed as a deed.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execution requirements for the TR1?</w:t>
        <w:br w:type="textWrapping"/>
        <w:t xml:space="preserve">A: Signed by seller, witnessed by an independent adult; if a company, signed per Companies Act 2006 (two directors or one director + witness).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on completion day in terms of funds transfer?</w:t>
        <w:br w:type="textWrapping"/>
        <w:t xml:space="preserve">A: Buyer’s solicitor sends balance via CHAPS; seller’s solicitor confirms receipt, releases keys, dates TR1, and uses funds to redeem mortgage.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solicitor’s undertaking in relation to mortgage discharge?</w:t>
        <w:br w:type="textWrapping"/>
        <w:t xml:space="preserve">A: A binding promise by seller’s solicitor to use sale proceeds to redeem the mortgage and provide proof of discharge to buyer’s solicitor.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pre-completion searches (OS1, bankruptcy)?</w:t>
        <w:br w:type="textWrapping"/>
        <w:t xml:space="preserve">A: To confirm no adverse changes since exchange and protect priority of registration.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buyer’s solicitor’s duty regarding SDLT after completion?</w:t>
        <w:br w:type="textWrapping"/>
        <w:t xml:space="preserve">A: Submit SDLT return and payment within 14 days (30 for LTT in Wales), obtain certificate, and include it in Land Registry application.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failing to register the title within the priority period?</w:t>
        <w:br w:type="textWrapping"/>
        <w:t xml:space="preserve">A: Loss of priority, risk of another interest being registered first, and potential invalidity of the transfer against third parties.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“stakeholder” and “agent” in holding deposit?</w:t>
        <w:br w:type="textWrapping"/>
        <w:t xml:space="preserve">A: Stakeholder holds neutrally until completion; agent can release to seller earlier must be expressly agreed.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reduced deposit and what are its implications?</w:t>
        <w:br w:type="textWrapping"/>
        <w:t xml:space="preserve">A: A deposit less than 10%; if buyer later fails to complete, they may be liable to pay the full 10% as a debt.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Completion Statement?</w:t>
        <w:br w:type="textWrapping"/>
        <w:t xml:space="preserve">A: To detail all financial elements due on completion: price, deposit, adjustments, taxes, and fees.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if completion is delayed?</w:t>
        <w:br w:type="textWrapping"/>
        <w:t xml:space="preserve">A: Serve a Notice to Complete if appropriate, charge contractual interest, and advise client on remedies (rescission, damages).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Certificate of Title to the lender?</w:t>
        <w:br w:type="textWrapping"/>
        <w:t xml:space="preserve">A: To assure the lender that title is good and marketable, the property provides sufficient security, and the charge will be registered.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8pugg8o2lp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6: POST-COMPLETION; REQUIREMENTS AND REGISTRATION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deadline for submitting the SDLT return and payment?</w:t>
        <w:br w:type="textWrapping"/>
        <w:t xml:space="preserve">A: 14 calendar days after completion in England/Northern Ireland; 30 days for LTT in Wales.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late SDLT filing?</w:t>
        <w:br w:type="textWrapping"/>
        <w:t xml:space="preserve">A: Automatic penalties and interest on unpaid tax; potential rejection of Land Registry application.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documents are required for a Land Registry application (AP1)?</w:t>
        <w:br w:type="textWrapping"/>
        <w:t xml:space="preserve">A: AP1 form, SDLT5/LTT certificate, TR1, mortgage deed (if any), identity evidence, and any consents or plans.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priority period and why is it critical?</w:t>
        <w:br w:type="textWrapping"/>
        <w:t xml:space="preserve">A: 30 working days from OS1 search; the application must be lodged within this time to protect the buyer’s interest against later registrations.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first registration and when is it triggered?</w:t>
        <w:br w:type="textWrapping"/>
        <w:t xml:space="preserve">A: The process of registering unregistered land at HM Land Registry; triggered by sale, lease over 7 years, or first legal mortgage.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the seller’s mortgage discharge?</w:t>
        <w:br w:type="textWrapping"/>
        <w:t xml:space="preserve">A: Ensure an undertaking is given, monitor receipt of DS1/END, and check the register to confirm removal of the charge.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Notice to Complete and when can it be served?</w:t>
        <w:br w:type="textWrapping"/>
        <w:t xml:space="preserve">A: A formal notice making time of the essence; can be served after contractual completion date if the other party is in breach.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remedies if a contract is rescinded after a Notice to Complete expires?</w:t>
        <w:br w:type="textWrapping"/>
        <w:t xml:space="preserve">A: Innocent party can forfeit deposit, claim damages, and seek specific performance.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registering the mortgage at the Land Registry?</w:t>
        <w:br w:type="textWrapping"/>
        <w:t xml:space="preserve">A: To secure the lender’s interest as a legal charge, ensuring priority over subsequent interests.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to the lender post-completion?</w:t>
        <w:br w:type="textWrapping"/>
        <w:t xml:space="preserve">A: Register the charge, send Title Information Document, and comply with all requirements in the Mortgage Lenders’ Handbook.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DS1 and END?</w:t>
        <w:br w:type="textWrapping"/>
        <w:t xml:space="preserve">A: DS1 is a paper discharge form for older mortgages; END is an electronic notification from the lender to the Land Registry.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Land Registry raises a requisition?</w:t>
        <w:br w:type="textWrapping"/>
        <w:t xml:space="preserve">A: Respond promptly with requested information or documents to avoid delays or rejection of the application.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risk of not registering a lease over 7 years?</w:t>
        <w:br w:type="textWrapping"/>
        <w:t xml:space="preserve">A: The lease may not bind third parties and could be lost if the freehold is sold.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client reporting post-completion?</w:t>
        <w:br w:type="textWrapping"/>
        <w:t xml:space="preserve">A: Confirm registration, provide copy of updated register, explain entries, and advise on any ongoing obligations (e.g., covenants).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long should conveyancing files be retained?</w:t>
        <w:br w:type="textWrapping"/>
        <w:t xml:space="preserve">A: At least six years (limitation period), longer if lender requirements or specific undertakings dictate.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the SDLT5/LTT certificate?</w:t>
        <w:br w:type="textWrapping"/>
        <w:t xml:space="preserve">A: Proof of tax payment; must be submitted with the Land Registry application for registration to proceed.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if acting for a buyer in a new build?</w:t>
        <w:br w:type="textWrapping"/>
        <w:t xml:space="preserve">A: Ensure all plot-specific documents are in order, new title is created, and NHBC or equivalent warranty is assigned.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submitting an inaccurate SDLT return?</w:t>
        <w:br w:type="textWrapping"/>
        <w:t xml:space="preserve">A: Penalties, interest, potential HMRC investigation, and delay in registration.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the seller’s mortgage discharge is delayed?</w:t>
        <w:br w:type="textWrapping"/>
        <w:t xml:space="preserve">A: Chase the undertaking, report to buyer/lender, and consider registering a caution if the charge remains unresolved.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Title Information Document?</w:t>
        <w:br w:type="textWrapping"/>
        <w:t xml:space="preserve">A: It is the official copy of the updated register, confirming the buyer’s registered ownership and any charges.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p1drkovtwav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7: FINANCE, MORTGAGES, AND PLANNING LAW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primary duty regarding source of funds?</w:t>
        <w:br w:type="textWrapping"/>
        <w:t xml:space="preserve">A: To conduct due diligence under AML regulations, verify legitimacy, and retain evidence on file.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 capital repayment and an interest-only mortgage?</w:t>
        <w:br w:type="textWrapping"/>
        <w:t xml:space="preserve">A: Repayment mortgages reduce capital over term; interest-only require a separate repayment vehicle, with capital due at term end.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role under FSMA 2000 regarding mortgage advice?</w:t>
        <w:br w:type="textWrapping"/>
        <w:t xml:space="preserve">A: Must not give regulated financial advice (e.g., product recommendation) unless authorised; can explain legal terms and document consequences.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Permitted Development Rights?</w:t>
        <w:br w:type="textWrapping"/>
        <w:t xml:space="preserve">A: Rights under the GPDO allowing certain developments (e.g., small extensions) without full planning permission, subject to limits.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Article 4 Direction and how does it affect PDR?</w:t>
        <w:br w:type="textWrapping"/>
        <w:t xml:space="preserve">A: A local authority direction that removes permitted development rights, requiring full planning permission for specified works.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enforcement period for a breach of planning control?</w:t>
        <w:br w:type="textWrapping"/>
        <w:t xml:space="preserve">A: In England, 10 years for all breaches (since April 2024); in Wales, 4 years for building works, 10 years for change of use.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buy-to-let mortgage and how does it differ from residential?</w:t>
        <w:br w:type="textWrapping"/>
        <w:t xml:space="preserve">A: Typically non-regulated (unless to family), often requires higher rental cover (125–145% of interest), and specific tenancy conditions.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when acting for both borrower and lender?</w:t>
        <w:br w:type="textWrapping"/>
        <w:t xml:space="preserve">A: Comply with UK Finance Handbook, disclose conflicts, report title defects, and ensure lender’s charge is first in priority.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Listed Building Consent and when is it required?</w:t>
        <w:br w:type="textWrapping"/>
        <w:t xml:space="preserve">A: Required for any works affecting the character of a listed building, internally or externally, in addition to planning permission.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an EPC in property transactions?</w:t>
        <w:br w:type="textWrapping"/>
        <w:t xml:space="preserve">A: To show energy efficiency rating; since 2018, properties must be E rating or above to let (MEES regulations).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bridging loan and what are the risks?</w:t>
        <w:br w:type="textWrapping"/>
        <w:t xml:space="preserve">A: Short-term high-interest finance for gaps between transactions; solicitor must advise on risks and ensure client understands terms.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planning breaches discovered in searches?</w:t>
        <w:br w:type="textWrapping"/>
        <w:t xml:space="preserve">A: Advise client, consider indemnity insurance, recommend retrospective application, or renegotiate price.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 conservation area designation?</w:t>
        <w:br w:type="textWrapping"/>
        <w:t xml:space="preserve">A: Extra controls on demolition, alterations, and tree removal; permitted development rights are often restricted.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offset mortgage and what is the solicitor’s role?</w:t>
        <w:br w:type="textWrapping"/>
        <w:t xml:space="preserve">A: Links savings to mortgage to reduce interest; solicitor must confirm lender’s terms and warn client about risks of withdrawing linked funds.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if a client is a non-UK resident?</w:t>
        <w:br w:type="textWrapping"/>
        <w:t xml:space="preserve">A: Consider SDLT surcharge, conduct enhanced due diligence, and ensure compliance with AML regulations for cross-border transactions.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pyfzl5exi4g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8: LEASEHOLD TRANSACTIONS; GRANT, ASSIGNMENT AND ENFORCEMENT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a lease and a licence?</w:t>
        <w:br w:type="textWrapping"/>
        <w:t xml:space="preserve">A: A lease grants exclusive possession for a term; a licence is a personal permission to occupy without proprietary interest.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must a lease be executed as a deed?</w:t>
        <w:br w:type="textWrapping"/>
        <w:t xml:space="preserve">A: When the term exceeds three years (s.52 LPA 1925).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registration requirement for leases over 7 years?</w:t>
        <w:br w:type="textWrapping"/>
        <w:t xml:space="preserve">A: Must be registered with HM Land Registry with its own title number.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FRI lease?</w:t>
        <w:br w:type="textWrapping"/>
        <w:t xml:space="preserve">A: Full Repairing and Insuring lease; tenant is responsible for all repairs and insurance costs.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schedule of condition?</w:t>
        <w:br w:type="textWrapping"/>
        <w:t xml:space="preserve">A: To record the property’s state at lease start, limiting tenant’s repair liability to keeping it in no worse condition.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statutory duty of a landlord regarding consent to assignment?</w:t>
        <w:br w:type="textWrapping"/>
        <w:t xml:space="preserve">A: Consent must not be unreasonably withheld or delayed (s.19 Landlord and Tenant Act 1927).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Authorised Guarantee Agreement?</w:t>
        <w:br w:type="textWrapping"/>
        <w:t xml:space="preserve">A: A guarantee by outgoing tenant of incoming tenant’s performance, required under LT(C)A 1995 for post-1996 leases.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forfeiture and what procedure must be followed?</w:t>
        <w:br w:type="textWrapping"/>
        <w:t xml:space="preserve">A: Landlord’s right to terminate lease for breach; usually requires s.146 notice (except for rent) and opportunity to remedy.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Landlord and Tenant Act 1954 Part II and what does it provide?</w:t>
        <w:br w:type="textWrapping"/>
        <w:t xml:space="preserve">A: Gives business tenants security of tenure i.e right to renew lease unless landlord proves a statutory ground for opposition.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can a landlord contract out of the 1954 Act security of tenure?</w:t>
        <w:br w:type="textWrapping"/>
        <w:t xml:space="preserve">A: By following strict pre-grant procedure: serving notice, obtaining tenant’s statutory declaration, and stating exclusion in lease.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CRAR and when can it be used?</w:t>
        <w:br w:type="textWrapping"/>
        <w:t xml:space="preserve">A: Commercial Rent Arrears Recovery. It allows landlord to take control of tenant’s goods for rent arrears, with 7 days’ notice.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rent review clause?</w:t>
        <w:br w:type="textWrapping"/>
        <w:t xml:space="preserve">A: To adjust rent periodically, usually to market rent, often upward-only.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assignment and subletting?</w:t>
        <w:br w:type="textWrapping"/>
        <w:t xml:space="preserve">A: Assignment transfers whole lease to new tenant; subletting creates a subordinate lease, original tenant remains liable to landlord.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break clause and what are typical conditions?</w:t>
        <w:br w:type="textWrapping"/>
        <w:t xml:space="preserve">A: A right to terminate lease early; conditions often include vacant possession, no arrears, and compliance with covenants.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when granting a new lease?</w:t>
        <w:br w:type="textWrapping"/>
        <w:t xml:space="preserve">A: Ensure deed is correctly executed, SDLT/LTT paid and returned, and lease registered if term over 7 years.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 user clause in a lease?</w:t>
        <w:br w:type="textWrapping"/>
        <w:t xml:space="preserve">A: Restricts use to specified purposes; breach can lead to forfeiture or injunction.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landlord’s duty regarding service charges?</w:t>
        <w:br w:type="textWrapping"/>
        <w:t xml:space="preserve">A: To recover reasonable costs of services, provide accounting, and consult tenants on major works (under Landlord and Tenant Act 1985).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tenant’s right to apply for relief from forfeiture?</w:t>
        <w:br w:type="textWrapping"/>
        <w:t xml:space="preserve">A: To apply to court to have lease reinstated if breach remedied and compensation paid, especially for non-rent breaches.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statutory compensation for business tenant if landlord opposes renewal?</w:t>
        <w:br w:type="textWrapping"/>
        <w:t xml:space="preserve">A: Compensation based on rateable value if landlord opposes on certain non-fault grounds (e.g., redevelopment, own occupation).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role in lease renewal under the 1954 Act?</w:t>
        <w:br w:type="textWrapping"/>
        <w:t xml:space="preserve">A: Advise on timing, serve appropriate notices (s.25 or s.26), negotiate terms, and if needed, apply to court to determine new lease.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0uah1fumm3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9: TAXATION IN PROPERTY TRANSACTIONS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SDLT and LTT?</w:t>
        <w:br w:type="textWrapping"/>
        <w:t xml:space="preserve">A: SDLT applies in England/NI, LTT in Wales; different bands, rates, and deadlines (14 days vs 30 days).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SDLT surcharge for additional properties?</w:t>
        <w:br w:type="textWrapping"/>
        <w:t xml:space="preserve">A: An extra 3% on top of standard rates for buy-to-let or second homes.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is VAT applicable in property transactions?</w:t>
        <w:br w:type="textWrapping"/>
        <w:t xml:space="preserve">A: Usually on commercial property if seller has opted to tax; residential sales are generally exempt or zero-rated.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Option to Tax and why is it used?</w:t>
        <w:br w:type="textWrapping"/>
        <w:t xml:space="preserve">A: Election to charge VAT on commercial property, allowing recovery of input tax on costs; lasts 20 years.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Principal Private Residence Relief for CGT?</w:t>
        <w:br w:type="textWrapping"/>
        <w:t xml:space="preserve">A: Exempts gain on sale of main home from CGT, subject to certain conditions and periods of occupation.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Annual Exempt Amount for CGT?</w:t>
        <w:br w:type="textWrapping"/>
        <w:t xml:space="preserve">A: £3,000 per person per tax year (2025/26), tax-free gain allowance.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SDLT filing deadline and consequence of missing it?</w:t>
        <w:br w:type="textWrapping"/>
        <w:t xml:space="preserve">A: 14 days after completion; penalties and interest apply for late filing.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Multiple Dwellings Relief for SDLT?</w:t>
        <w:br w:type="textWrapping"/>
        <w:t xml:space="preserve">A: Reduces SDLT when buying multiple dwellings in a single transaction, by averaging price across units.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does CGT arise on property disposal?</w:t>
        <w:br w:type="textWrapping"/>
        <w:t xml:space="preserve">A: When a chargeable asset (e.g., second home, investment property) is sold at a gain above the annual exempt amount.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zero-rated and exempt for VAT?</w:t>
        <w:br w:type="textWrapping"/>
        <w:t xml:space="preserve">A: Zero-rated: VAT charged at 0%, input tax recoverable; exempt: no VAT charged, input tax not recoverable.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SDLT for first-time buyers?</w:t>
        <w:br w:type="textWrapping"/>
        <w:t xml:space="preserve">A: Apply correct relief (0% up to £425,000 if price under £625,000), file return, and keep evidence.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higher rate of CGT for residential property?</w:t>
        <w:br w:type="textWrapping"/>
        <w:t xml:space="preserve">A: 24% for higher-rate taxpayers; 18% for basic-rate taxpayers (2025/26).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lettings relief for CGT and when does it apply?</w:t>
        <w:br w:type="textWrapping"/>
        <w:t xml:space="preserve">A: Limited relief if owner shared occupancy with tenant; restricted if whole property let out after April 2020.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the SDLT5 certificate?</w:t>
        <w:br w:type="textWrapping"/>
        <w:t xml:space="preserve">A: Proof of SDLT payment; required for Land Registry registration.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solicitor’s duty regarding VAT option to tax?</w:t>
        <w:br w:type="textWrapping"/>
        <w:t xml:space="preserve">A: Check if property is opted, confirm with HMRC, draft VAT clauses, and advise on SDLT calculation on VAT-inclusive price.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deadline for CGT payment on residential property?</w:t>
        <w:br w:type="textWrapping"/>
        <w:t xml:space="preserve">A: 60 days from completion for UK residents and non-residents.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Business Asset Disposal Relief for CGT?</w:t>
        <w:br w:type="textWrapping"/>
        <w:t xml:space="preserve">A: Reduces CGT rate to 14% on qualifying business asset disposals, subject to lifetime limit.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SDLT on residential and commercial property?</w:t>
        <w:br w:type="textWrapping"/>
        <w:t xml:space="preserve">A: Different bands and rates; commercial starts at 0% up to £150k, then 2%, then 5%; no surcharges.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