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859" w:tblpY="2002"/>
        <w:tblOverlap w:val="never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2"/>
        <w:gridCol w:w="1510"/>
        <w:gridCol w:w="1038"/>
        <w:gridCol w:w="883"/>
        <w:gridCol w:w="2908"/>
        <w:gridCol w:w="66"/>
        <w:gridCol w:w="66"/>
        <w:gridCol w:w="66"/>
        <w:gridCol w:w="67"/>
      </w:tblGrid>
      <w:tr w14:paraId="06A19C8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A5B8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Stage / 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ADE20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Limit /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1254B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5318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1BF7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C239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DFA53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1D000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7CDB4A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988F2B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196F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of General Meeting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8571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 least 14 clear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6C547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307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C62E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C7E4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"Clear" means excluding the day of service and the day of the meeting.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E26A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9B808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A6A27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0EC3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8B8A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054E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GM (Shareholder Request)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F2C2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Board must call within 21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7747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304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2011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5BD3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Meeting must then be held within 28 days of the notice.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70999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5ACE6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960E9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85FD6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AEE602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DD56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Special Resolutions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38B3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Must be filed within 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613B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B74C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4BE7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Copy of the resolution must be sent to the Registrar of Companies.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2201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D31BC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D47CB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91E5A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A126F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D874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Charge Registration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205BC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21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BF75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859A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BB2C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0876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Includes weekends/bank holidays; late delivery requires a court order.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4E220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D8CEC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E3E5C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1B89F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0BF09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21AD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Removal of Director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D710E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28 days (Special Notice)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E474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312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F0A9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C9382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Notice of intention to remove must be given to the company.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CC184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1C184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6231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61372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9F8A7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F7232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Director Representations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A07D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At least 14 days before GM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3EB7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169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B1B0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C798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If special notice is not practicable, the company must advertise it.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E1C98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4E250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A3D5B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C5287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97F5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A163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Share Buyback (Capital)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5C2D4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 to 7 weeks window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682A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723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AEE5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2B31A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Payment made 5–7 weeks after the special resolution is passed.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C741C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EF8B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19E72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CE1A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1E1A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B2C3C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Registration of Director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F71C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14 days of change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663C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167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65C6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4CCB9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Form AP01 (appointment) or TM01 (termination) to Companies House.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8E0E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C8E7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03E9A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38075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682F5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D9A12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First Registration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CC8B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 months from completion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1B0E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LRA 2002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B4C70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2B28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Statutory deadline for first registration of a property (if applicable to the business).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7EB4F0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4B70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6407EA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2114C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571AE5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ADA87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Moratorium (Insolvency)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A07B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Initial 20 business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D5B8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CIGA 2020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1A54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Business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E8635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Can be extended for a further 20 business days.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7F314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6853B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C89F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22BF6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A72015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1610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Corporation Tax (Small)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B3F8C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9 months and 1 day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D56B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Finance Act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AAEB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19FA9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Deadline for payment after the end of the accounting period.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F7F4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8111E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0C0D9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01D0B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7567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4E293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Corporation Tax (Large)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C274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Quarterly instalments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A7C7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Finance Act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EEC04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B360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Large companies pay in 4 instalments during and after the period.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F6E81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0B02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43767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41671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A1C8B9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FFE52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VAT Registration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2E5A9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30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13BF4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VATA 1994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73DFB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36F8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Required if taxable turnover exceeds the threshold in a 12-month period.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43A5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CD50D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25D0C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918019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2C3AB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1BB7D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Accounting Records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5A1F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 or 6 years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2B1B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 2006 s. 388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FD94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2333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Private companies (3 yrs); Public companies (6 yrs).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47EE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A40F7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4B02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280EE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0F1E78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AFAD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E6B9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ADB79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3ECC0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2897E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5FCB0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57651A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23C4D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50938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729E955B">
      <w:pPr>
        <w:pStyle w:val="2"/>
      </w:pPr>
      <w:r>
        <w:t xml:space="preserve"> 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 xml:space="preserve">for </w:t>
      </w:r>
      <w:r>
        <w:t>Criminal Practice</w:t>
      </w:r>
    </w:p>
    <w:p w14:paraId="0365828D"/>
    <w:p w14:paraId="309BD2D7">
      <w:pPr>
        <w:rPr>
          <w:rFonts w:ascii="SimSun" w:hAnsi="SimSun" w:eastAsia="SimSun" w:cs="SimSun"/>
          <w:b/>
          <w:bCs/>
          <w:color w:val="0000FF"/>
          <w:sz w:val="24"/>
          <w:szCs w:val="24"/>
        </w:rPr>
      </w:pPr>
    </w:p>
    <w:p w14:paraId="6D7DCFFB">
      <w:pPr>
        <w:rPr>
          <w:rFonts w:ascii="SimSun" w:hAnsi="SimSun" w:eastAsia="SimSun" w:cs="SimSun"/>
          <w:b/>
          <w:bCs/>
          <w:color w:val="0000FF"/>
          <w:sz w:val="24"/>
          <w:szCs w:val="24"/>
        </w:rPr>
      </w:pPr>
    </w:p>
    <w:p w14:paraId="09959BC5">
      <w:pPr>
        <w:rPr>
          <w:rFonts w:ascii="SimSun" w:hAnsi="SimSun" w:eastAsia="SimSun" w:cs="SimSun"/>
          <w:b/>
          <w:bCs/>
          <w:color w:val="0000FF"/>
          <w:sz w:val="24"/>
          <w:szCs w:val="24"/>
        </w:rPr>
      </w:pPr>
    </w:p>
    <w:p w14:paraId="40587F7F">
      <w:pPr>
        <w:rPr>
          <w:rFonts w:ascii="SimSun" w:hAnsi="SimSun" w:eastAsia="SimSun" w:cs="SimSun"/>
          <w:b/>
          <w:bCs/>
          <w:color w:val="0000FF"/>
          <w:sz w:val="24"/>
          <w:szCs w:val="24"/>
        </w:rPr>
      </w:pPr>
    </w:p>
    <w:p w14:paraId="065F75AC">
      <w:pPr>
        <w:rPr>
          <w:rFonts w:ascii="SimSun" w:hAnsi="SimSun" w:eastAsia="SimSun" w:cs="SimSun"/>
          <w:b/>
          <w:bCs/>
          <w:color w:val="0000FF"/>
          <w:sz w:val="24"/>
          <w:szCs w:val="24"/>
        </w:rPr>
      </w:pPr>
    </w:p>
    <w:p w14:paraId="60C3B814">
      <w:pPr>
        <w:rPr>
          <w:rFonts w:ascii="SimSun" w:hAnsi="SimSun" w:eastAsia="SimSun" w:cs="SimSun"/>
          <w:b/>
          <w:bCs/>
          <w:color w:val="0000FF"/>
          <w:sz w:val="24"/>
          <w:szCs w:val="24"/>
        </w:rPr>
      </w:pPr>
    </w:p>
    <w:p w14:paraId="17D3B52C">
      <w:pPr>
        <w:rPr>
          <w:b/>
          <w:bCs/>
          <w:color w:val="0000FF"/>
        </w:rPr>
      </w:pPr>
      <w:r>
        <w:rPr>
          <w:rFonts w:ascii="SimSun" w:hAnsi="SimSun" w:eastAsia="SimSun" w:cs="SimSun"/>
          <w:b/>
          <w:bCs/>
          <w:color w:val="0000FF"/>
          <w:sz w:val="24"/>
          <w:szCs w:val="24"/>
        </w:rPr>
        <w:t>Decision-Making and Resolution Table</w:t>
      </w:r>
    </w:p>
    <w:p w14:paraId="2FFAD1FC"/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2"/>
        <w:gridCol w:w="1348"/>
        <w:gridCol w:w="1389"/>
        <w:gridCol w:w="1511"/>
        <w:gridCol w:w="1590"/>
        <w:gridCol w:w="66"/>
      </w:tblGrid>
      <w:tr w14:paraId="4F3105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5F8D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Decision / 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E767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Resolution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F335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Majority Required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0A7D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 (CA 2006)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FBB0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Filing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8458B4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6C436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EF31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Change Company 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3EF7C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Special (SR)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ED57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75%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FC83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77(1)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053C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1B0A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7CAF7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E6A5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Amend Articles of Association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C3C9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Special (SR)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3222F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75%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35B4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21(1)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6923E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B11B5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4E80C1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0052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Disapply Pre-emption Rights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2756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Special (SR)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AAEBA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75%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2B3B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569 / 571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F8AE6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742BC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A631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27984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Buyback Shares out of Capital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B1A6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Special (SR)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C6CE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75%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37CC9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716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252D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CCD7A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FB7DDD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7BCE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Reduction of Share Capital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7CCB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Special (SR)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9955A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≥ 75%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9074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641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60D0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8DDE3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62C7B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FB9D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Appoint a Director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58C3D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B8E7D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8324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 17 / s. 160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E15D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 days (Form AP01)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ED85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13027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B0F2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Remove a Director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840D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E9A5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9FA8D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168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D68C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 days (Form TM01)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EEA2C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EE340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ABCD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Substantial Property Transaction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A42D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D85C7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60CEB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190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4AC0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Internal Record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E6A8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613E1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31362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Loan to a Director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D30D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E2F29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23173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197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5D84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Internal Record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C084A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F774FE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FB1EF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Long-term Service Contract (&gt;2yr)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39A4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E4CD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7214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188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876DC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Internal Record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87033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BCCD9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8DA1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Ratify a Director's Breach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7711A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DC7E7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33C5B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239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647C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Internal Record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F3841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B4F4CF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5C38E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 to Allot Shares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E005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6DA5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665A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s. 551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CDCE6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C89270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69D8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904B8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Declare a Final Dividend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7D28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Ordinary (OR)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E6005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&gt; 50%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AF825F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 30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D577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790AB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3F69081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C435E"/>
    <w:rsid w:val="2B9C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2026-01-24T22:58:00Z</dcterms:created>
  <dc:creator>Korede Tibetan</dc:creator>
  <cp:lastModifiedBy>Korede Tibetan</cp:lastModifiedBy>
  <dcterms:modified xsi:type="dcterms:W3CDTF">2026-01-24T23:02:59Z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F496AFDF29FF4BFC86012B19CC196F2B_11</vt:lpwstr>
  </property>
</Properties>
</file>