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9E955B">
      <w:pPr>
        <w:pStyle w:val="2"/>
      </w:pPr>
      <w:r>
        <w:t xml:space="preserve"> SQE</w:t>
      </w:r>
      <w:r>
        <w:rPr>
          <w:rFonts w:hint="default"/>
          <w:lang w:val="en-GB"/>
        </w:rPr>
        <w:t xml:space="preserve"> </w:t>
      </w:r>
      <w:r>
        <w:t xml:space="preserve">Key Time Frames and Deadlines </w:t>
      </w:r>
      <w:r>
        <w:rPr>
          <w:rFonts w:hint="default"/>
          <w:lang w:val="en-GB"/>
        </w:rPr>
        <w:t xml:space="preserve">for </w:t>
      </w:r>
      <w:r>
        <w:t>Criminal Practice</w:t>
      </w:r>
    </w:p>
    <w:p w14:paraId="35CBB0D8">
      <w:bookmarkStart w:id="0" w:name="_GoBack"/>
      <w:bookmarkEnd w:id="0"/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2155"/>
        <w:gridCol w:w="1977"/>
        <w:gridCol w:w="2674"/>
      </w:tblGrid>
      <w:tr w14:paraId="35B74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05EC43">
            <w:r>
              <w:t>Stage</w:t>
            </w:r>
          </w:p>
        </w:tc>
        <w:tc>
          <w:tcPr>
            <w:tcW w:w="2160" w:type="dxa"/>
          </w:tcPr>
          <w:p w14:paraId="426C89EC">
            <w:r>
              <w:t>Time Limit / Deadline</w:t>
            </w:r>
          </w:p>
        </w:tc>
        <w:tc>
          <w:tcPr>
            <w:tcW w:w="2160" w:type="dxa"/>
          </w:tcPr>
          <w:p w14:paraId="743F1E9B">
            <w:r>
              <w:t>Authority</w:t>
            </w:r>
          </w:p>
        </w:tc>
        <w:tc>
          <w:tcPr>
            <w:tcW w:w="2160" w:type="dxa"/>
          </w:tcPr>
          <w:p w14:paraId="1156137E">
            <w:r>
              <w:t>Notes</w:t>
            </w:r>
          </w:p>
        </w:tc>
      </w:tr>
      <w:tr w14:paraId="06A8D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66DD39">
            <w:r>
              <w:t>Detention without charge</w:t>
            </w:r>
          </w:p>
        </w:tc>
        <w:tc>
          <w:tcPr>
            <w:tcW w:w="2160" w:type="dxa"/>
          </w:tcPr>
          <w:p w14:paraId="66281152">
            <w:r>
              <w:t>24 hours from relevant time</w:t>
            </w:r>
          </w:p>
        </w:tc>
        <w:tc>
          <w:tcPr>
            <w:tcW w:w="2160" w:type="dxa"/>
          </w:tcPr>
          <w:p w14:paraId="758CAB5C">
            <w:r>
              <w:t>PACE s.41</w:t>
            </w:r>
          </w:p>
        </w:tc>
        <w:tc>
          <w:tcPr>
            <w:tcW w:w="2160" w:type="dxa"/>
          </w:tcPr>
          <w:p w14:paraId="3FAEB23C">
            <w:r>
              <w:t>Initial maximum period</w:t>
            </w:r>
          </w:p>
        </w:tc>
      </w:tr>
      <w:tr w14:paraId="74D859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047691">
            <w:r>
              <w:t>Superintendent extension</w:t>
            </w:r>
          </w:p>
        </w:tc>
        <w:tc>
          <w:tcPr>
            <w:tcW w:w="2160" w:type="dxa"/>
          </w:tcPr>
          <w:p w14:paraId="7AC9919A">
            <w:r>
              <w:t>Up to 36 hours total</w:t>
            </w:r>
          </w:p>
        </w:tc>
        <w:tc>
          <w:tcPr>
            <w:tcW w:w="2160" w:type="dxa"/>
          </w:tcPr>
          <w:p w14:paraId="5AB06569">
            <w:r>
              <w:t>PACE s.42</w:t>
            </w:r>
          </w:p>
        </w:tc>
        <w:tc>
          <w:tcPr>
            <w:tcW w:w="2160" w:type="dxa"/>
          </w:tcPr>
          <w:p w14:paraId="4436E50C">
            <w:r>
              <w:t>Indictable offences only</w:t>
            </w:r>
          </w:p>
        </w:tc>
      </w:tr>
      <w:tr w14:paraId="607DBC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3B6875">
            <w:r>
              <w:t>Magistrates’ extension</w:t>
            </w:r>
          </w:p>
        </w:tc>
        <w:tc>
          <w:tcPr>
            <w:tcW w:w="2160" w:type="dxa"/>
          </w:tcPr>
          <w:p w14:paraId="5F626D0E">
            <w:r>
              <w:t>Up to 96 hours total</w:t>
            </w:r>
          </w:p>
        </w:tc>
        <w:tc>
          <w:tcPr>
            <w:tcW w:w="2160" w:type="dxa"/>
          </w:tcPr>
          <w:p w14:paraId="28220E80">
            <w:r>
              <w:t>PACE s.43–44</w:t>
            </w:r>
          </w:p>
        </w:tc>
        <w:tc>
          <w:tcPr>
            <w:tcW w:w="2160" w:type="dxa"/>
          </w:tcPr>
          <w:p w14:paraId="3111AA99">
            <w:r>
              <w:t>Application to magistrates</w:t>
            </w:r>
          </w:p>
        </w:tc>
      </w:tr>
      <w:tr w14:paraId="778A78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616950">
            <w:r>
              <w:t>Review of detention</w:t>
            </w:r>
          </w:p>
        </w:tc>
        <w:tc>
          <w:tcPr>
            <w:tcW w:w="2160" w:type="dxa"/>
          </w:tcPr>
          <w:p w14:paraId="104A0422">
            <w:r>
              <w:t>First at 6h, then every 9h</w:t>
            </w:r>
          </w:p>
        </w:tc>
        <w:tc>
          <w:tcPr>
            <w:tcW w:w="2160" w:type="dxa"/>
          </w:tcPr>
          <w:p w14:paraId="61DD3815">
            <w:r>
              <w:t>PACE s.40</w:t>
            </w:r>
          </w:p>
        </w:tc>
        <w:tc>
          <w:tcPr>
            <w:tcW w:w="2160" w:type="dxa"/>
          </w:tcPr>
          <w:p w14:paraId="59A9C18B">
            <w:r>
              <w:t>Inspector/superintendent</w:t>
            </w:r>
          </w:p>
        </w:tc>
      </w:tr>
      <w:tr w14:paraId="161CBE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DCE341">
            <w:r>
              <w:t>Delay legal advice</w:t>
            </w:r>
          </w:p>
        </w:tc>
        <w:tc>
          <w:tcPr>
            <w:tcW w:w="2160" w:type="dxa"/>
          </w:tcPr>
          <w:p w14:paraId="66220977">
            <w:r>
              <w:t>Up to 36 hours</w:t>
            </w:r>
          </w:p>
        </w:tc>
        <w:tc>
          <w:tcPr>
            <w:tcW w:w="2160" w:type="dxa"/>
          </w:tcPr>
          <w:p w14:paraId="6892692E">
            <w:r>
              <w:t>PACE s.58(6)</w:t>
            </w:r>
          </w:p>
        </w:tc>
        <w:tc>
          <w:tcPr>
            <w:tcW w:w="2160" w:type="dxa"/>
          </w:tcPr>
          <w:p w14:paraId="5B13A6D3">
            <w:r>
              <w:t>Indictable offences only</w:t>
            </w:r>
          </w:p>
        </w:tc>
      </w:tr>
      <w:tr w14:paraId="5AFEE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5A538E">
            <w:r>
              <w:t>Delay informing someone of arrest</w:t>
            </w:r>
          </w:p>
        </w:tc>
        <w:tc>
          <w:tcPr>
            <w:tcW w:w="2160" w:type="dxa"/>
          </w:tcPr>
          <w:p w14:paraId="31BB807D">
            <w:r>
              <w:t>Up to 36 hours</w:t>
            </w:r>
          </w:p>
        </w:tc>
        <w:tc>
          <w:tcPr>
            <w:tcW w:w="2160" w:type="dxa"/>
          </w:tcPr>
          <w:p w14:paraId="67BE6F2F">
            <w:r>
              <w:t>PACE s.56</w:t>
            </w:r>
          </w:p>
        </w:tc>
        <w:tc>
          <w:tcPr>
            <w:tcW w:w="2160" w:type="dxa"/>
          </w:tcPr>
          <w:p w14:paraId="2E26DDBD">
            <w:r>
              <w:t>Inspector authorisation</w:t>
            </w:r>
          </w:p>
        </w:tc>
      </w:tr>
      <w:tr w14:paraId="50D81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B0E126">
            <w:r>
              <w:t>Charge to first magistrates’ appearance</w:t>
            </w:r>
          </w:p>
        </w:tc>
        <w:tc>
          <w:tcPr>
            <w:tcW w:w="2160" w:type="dxa"/>
          </w:tcPr>
          <w:p w14:paraId="246A143E">
            <w:r>
              <w:t>Next sitting day</w:t>
            </w:r>
          </w:p>
        </w:tc>
        <w:tc>
          <w:tcPr>
            <w:tcW w:w="2160" w:type="dxa"/>
          </w:tcPr>
          <w:p w14:paraId="142E7A6C">
            <w:r>
              <w:t>CrimPR</w:t>
            </w:r>
          </w:p>
        </w:tc>
        <w:tc>
          <w:tcPr>
            <w:tcW w:w="2160" w:type="dxa"/>
          </w:tcPr>
          <w:p w14:paraId="1089D9DD">
            <w:r>
              <w:t>If in custody</w:t>
            </w:r>
          </w:p>
        </w:tc>
      </w:tr>
      <w:tr w14:paraId="1FEEE2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8732CD">
            <w:r>
              <w:t>Initial details of prosecution case (IDPC)</w:t>
            </w:r>
          </w:p>
        </w:tc>
        <w:tc>
          <w:tcPr>
            <w:tcW w:w="2160" w:type="dxa"/>
          </w:tcPr>
          <w:p w14:paraId="7FB7E2FF">
            <w:r>
              <w:t>Before plea before venue</w:t>
            </w:r>
          </w:p>
        </w:tc>
        <w:tc>
          <w:tcPr>
            <w:tcW w:w="2160" w:type="dxa"/>
          </w:tcPr>
          <w:p w14:paraId="25283F32">
            <w:r>
              <w:t>CrimPR Part 8</w:t>
            </w:r>
          </w:p>
        </w:tc>
        <w:tc>
          <w:tcPr>
            <w:tcW w:w="2160" w:type="dxa"/>
          </w:tcPr>
          <w:p w14:paraId="6DE76420">
            <w:r>
              <w:t>Either-way offences</w:t>
            </w:r>
          </w:p>
        </w:tc>
      </w:tr>
      <w:tr w14:paraId="7FCECC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B069EF">
            <w:r>
              <w:t>Summary offence – laying information</w:t>
            </w:r>
          </w:p>
        </w:tc>
        <w:tc>
          <w:tcPr>
            <w:tcW w:w="2160" w:type="dxa"/>
          </w:tcPr>
          <w:p w14:paraId="2CE71234">
            <w:r>
              <w:t>6 months from offence</w:t>
            </w:r>
          </w:p>
        </w:tc>
        <w:tc>
          <w:tcPr>
            <w:tcW w:w="2160" w:type="dxa"/>
          </w:tcPr>
          <w:p w14:paraId="133F423C">
            <w:r>
              <w:t>Magistrates’ Courts Act 1980</w:t>
            </w:r>
          </w:p>
        </w:tc>
        <w:tc>
          <w:tcPr>
            <w:tcW w:w="2160" w:type="dxa"/>
          </w:tcPr>
          <w:p w14:paraId="3C982F9E">
            <w:r>
              <w:t>Statutory limitation</w:t>
            </w:r>
          </w:p>
        </w:tc>
      </w:tr>
      <w:tr w14:paraId="23DB3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9E7298">
            <w:r>
              <w:t>Custody time limit – magistrates</w:t>
            </w:r>
          </w:p>
        </w:tc>
        <w:tc>
          <w:tcPr>
            <w:tcW w:w="2160" w:type="dxa"/>
          </w:tcPr>
          <w:p w14:paraId="029CFC69">
            <w:r>
              <w:t>182 days</w:t>
            </w:r>
          </w:p>
        </w:tc>
        <w:tc>
          <w:tcPr>
            <w:tcW w:w="2160" w:type="dxa"/>
          </w:tcPr>
          <w:p w14:paraId="4377EFE1">
            <w:r>
              <w:t>CTLR 1987</w:t>
            </w:r>
          </w:p>
        </w:tc>
        <w:tc>
          <w:tcPr>
            <w:tcW w:w="2160" w:type="dxa"/>
          </w:tcPr>
          <w:p w14:paraId="7E1BAEE6">
            <w:r>
              <w:t>From first remand</w:t>
            </w:r>
          </w:p>
        </w:tc>
      </w:tr>
      <w:tr w14:paraId="24E305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02BC87">
            <w:r>
              <w:t>Custody time limit – Crown Court</w:t>
            </w:r>
          </w:p>
        </w:tc>
        <w:tc>
          <w:tcPr>
            <w:tcW w:w="2160" w:type="dxa"/>
          </w:tcPr>
          <w:p w14:paraId="54A67D3B">
            <w:r>
              <w:t>182 days</w:t>
            </w:r>
          </w:p>
        </w:tc>
        <w:tc>
          <w:tcPr>
            <w:tcW w:w="2160" w:type="dxa"/>
          </w:tcPr>
          <w:p w14:paraId="3B502D5E">
            <w:r>
              <w:t>CTLR 1987</w:t>
            </w:r>
          </w:p>
        </w:tc>
        <w:tc>
          <w:tcPr>
            <w:tcW w:w="2160" w:type="dxa"/>
          </w:tcPr>
          <w:p w14:paraId="3F8F6363">
            <w:r>
              <w:t>From sending</w:t>
            </w:r>
          </w:p>
        </w:tc>
      </w:tr>
      <w:tr w14:paraId="0238E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8BCBA3">
            <w:r>
              <w:t>Defence statement (Crown Court)</w:t>
            </w:r>
          </w:p>
        </w:tc>
        <w:tc>
          <w:tcPr>
            <w:tcW w:w="2160" w:type="dxa"/>
          </w:tcPr>
          <w:p w14:paraId="698F5AB3">
            <w:r>
              <w:t>28 days after prosecution disclosure</w:t>
            </w:r>
          </w:p>
        </w:tc>
        <w:tc>
          <w:tcPr>
            <w:tcW w:w="2160" w:type="dxa"/>
          </w:tcPr>
          <w:p w14:paraId="5307FDC0">
            <w:r>
              <w:t>CPIA 1996</w:t>
            </w:r>
          </w:p>
        </w:tc>
        <w:tc>
          <w:tcPr>
            <w:tcW w:w="2160" w:type="dxa"/>
          </w:tcPr>
          <w:p w14:paraId="01CA3C5B"/>
        </w:tc>
      </w:tr>
      <w:tr w14:paraId="270A7C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556D0E">
            <w:r>
              <w:t>Defence statement (magistrates)</w:t>
            </w:r>
          </w:p>
        </w:tc>
        <w:tc>
          <w:tcPr>
            <w:tcW w:w="2160" w:type="dxa"/>
          </w:tcPr>
          <w:p w14:paraId="21887C84">
            <w:r>
              <w:t>14 days after prosecution disclosure</w:t>
            </w:r>
          </w:p>
        </w:tc>
        <w:tc>
          <w:tcPr>
            <w:tcW w:w="2160" w:type="dxa"/>
          </w:tcPr>
          <w:p w14:paraId="78A67F51">
            <w:r>
              <w:t>CPIA 1996</w:t>
            </w:r>
          </w:p>
        </w:tc>
        <w:tc>
          <w:tcPr>
            <w:tcW w:w="2160" w:type="dxa"/>
          </w:tcPr>
          <w:p w14:paraId="655F19A6"/>
        </w:tc>
      </w:tr>
      <w:tr w14:paraId="0D8DD9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942617">
            <w:r>
              <w:t>Prosecution response to defence statement</w:t>
            </w:r>
          </w:p>
        </w:tc>
        <w:tc>
          <w:tcPr>
            <w:tcW w:w="2160" w:type="dxa"/>
          </w:tcPr>
          <w:p w14:paraId="608F6942">
            <w:r>
              <w:t>14 days</w:t>
            </w:r>
          </w:p>
        </w:tc>
        <w:tc>
          <w:tcPr>
            <w:tcW w:w="2160" w:type="dxa"/>
          </w:tcPr>
          <w:p w14:paraId="19AF17DF">
            <w:r>
              <w:t>CPIA 1996</w:t>
            </w:r>
          </w:p>
        </w:tc>
        <w:tc>
          <w:tcPr>
            <w:tcW w:w="2160" w:type="dxa"/>
          </w:tcPr>
          <w:p w14:paraId="1658BE63"/>
        </w:tc>
      </w:tr>
      <w:tr w14:paraId="64CE4F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5B21E8">
            <w:r>
              <w:t>Notice of hearsay</w:t>
            </w:r>
          </w:p>
        </w:tc>
        <w:tc>
          <w:tcPr>
            <w:tcW w:w="2160" w:type="dxa"/>
          </w:tcPr>
          <w:p w14:paraId="55F83B8F">
            <w:r>
              <w:t>As soon as practicable</w:t>
            </w:r>
          </w:p>
        </w:tc>
        <w:tc>
          <w:tcPr>
            <w:tcW w:w="2160" w:type="dxa"/>
          </w:tcPr>
          <w:p w14:paraId="7DABA2BE">
            <w:r>
              <w:t>CJA 2003</w:t>
            </w:r>
          </w:p>
        </w:tc>
        <w:tc>
          <w:tcPr>
            <w:tcW w:w="2160" w:type="dxa"/>
          </w:tcPr>
          <w:p w14:paraId="55100FFC"/>
        </w:tc>
      </w:tr>
      <w:tr w14:paraId="1F388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9DBA92">
            <w:r>
              <w:t>Bad character application</w:t>
            </w:r>
          </w:p>
        </w:tc>
        <w:tc>
          <w:tcPr>
            <w:tcW w:w="2160" w:type="dxa"/>
          </w:tcPr>
          <w:p w14:paraId="2B5CB23C">
            <w:r>
              <w:t>At least 14 days before trial</w:t>
            </w:r>
          </w:p>
        </w:tc>
        <w:tc>
          <w:tcPr>
            <w:tcW w:w="2160" w:type="dxa"/>
          </w:tcPr>
          <w:p w14:paraId="4D15D9C2">
            <w:r>
              <w:t>CrimPR Part 21</w:t>
            </w:r>
          </w:p>
        </w:tc>
        <w:tc>
          <w:tcPr>
            <w:tcW w:w="2160" w:type="dxa"/>
          </w:tcPr>
          <w:p w14:paraId="3EA3E8DF"/>
        </w:tc>
      </w:tr>
      <w:tr w14:paraId="1B116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6EF355">
            <w:r>
              <w:t>Appeal from magistrates’ court</w:t>
            </w:r>
          </w:p>
        </w:tc>
        <w:tc>
          <w:tcPr>
            <w:tcW w:w="2160" w:type="dxa"/>
          </w:tcPr>
          <w:p w14:paraId="4327E52A">
            <w:r>
              <w:t>21 days from sentence/conviction</w:t>
            </w:r>
          </w:p>
        </w:tc>
        <w:tc>
          <w:tcPr>
            <w:tcW w:w="2160" w:type="dxa"/>
          </w:tcPr>
          <w:p w14:paraId="3DCE2B66">
            <w:r>
              <w:t>MCA 1980 s.108</w:t>
            </w:r>
          </w:p>
        </w:tc>
        <w:tc>
          <w:tcPr>
            <w:tcW w:w="2160" w:type="dxa"/>
          </w:tcPr>
          <w:p w14:paraId="13EAEC31"/>
        </w:tc>
      </w:tr>
    </w:tbl>
    <w:p w14:paraId="13B5B802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E6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Korede Tibetan</cp:lastModifiedBy>
  <dcterms:modified xsi:type="dcterms:W3CDTF">2026-01-24T22:34:28Z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D860F21172EE4C82808D06DFB1F28A7D_13</vt:lpwstr>
  </property>
</Properties>
</file>