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pPr w:leftFromText="180" w:rightFromText="180" w:vertAnchor="page" w:horzAnchor="page" w:tblpX="1810" w:tblpY="1978"/>
        <w:tblOverlap w:val="never"/>
        <w:tblW w:w="0" w:type="dxa"/>
        <w:tblInd w:w="0" w:type="dxa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36"/>
        <w:gridCol w:w="1994"/>
        <w:gridCol w:w="1067"/>
        <w:gridCol w:w="880"/>
        <w:gridCol w:w="2325"/>
        <w:gridCol w:w="66"/>
        <w:gridCol w:w="66"/>
        <w:gridCol w:w="66"/>
        <w:gridCol w:w="66"/>
      </w:tblGrid>
      <w:tr w14:paraId="5CB5397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1AF7D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Stage / Action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E550B9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Time Limit / Deadline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A1265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5B66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Day Type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BE76D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Notes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997B8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1F8F9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CB56C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3D9425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6689E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0040B6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Limitation (Contract)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62A7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6 years from breach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0574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Limitation Act 1980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43519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A8627C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Standard period to commence a claim for breach of contract.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65185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8EE03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D8CE1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AB9C1F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A3FD48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781A2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Limitation (Tort/Negligence)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1298F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 years from injury/knowledge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5C6875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Limitation Act 1980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2BD97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54A30F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Typically from the date of the injury or date of knowledge.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16D0D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6EB3A6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072C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119EF3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A2C891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BD2932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Response to Prof. Negligence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844C5C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 days (Acknowledgment)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2C92C5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Pre-Action Protocol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68B987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905CFE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The professional must acknowledge the Preliminary Notice.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A63762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477B61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CE4BC7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0F2249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CCA5A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9DCBA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Investigation of Prof. Neg. Claim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A5E606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 months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5DC399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Pre-Action Protocol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B8F73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616D07E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Period for the professional to investigate and send a Letter of Response.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B61B0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44569F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CA0F2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8F7AB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980F96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1CC59D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Service of Claim Form (In UK)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6A19D0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Within 4 months of issue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899FC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877C8E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4B0BE87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The claimant must complete the step required for service within this window.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9C4AAB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7363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0C0B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F692F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AA118B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74D47F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Deemed Service (Post/DX)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CE6ED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2nd business day after posting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B1870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r. 6.14 / 6.26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2E0F7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Business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02D7A5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claim forms, it is the 2nd business day; for other docs, it is the 2nd day.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98D53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951FD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21859B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8A447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EE737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9B9303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Acknowledgment of Service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046228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 days after service of POC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7CE16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10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648E6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0F9FDF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Extends the deadline for filing a defence to 28 days total.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DF2AB2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A4277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16388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2CE4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4B5212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B6CD9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Filing a Defence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35D9F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14 days (or 28 days if AoS filed)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F6197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0DBFDA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B198E5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From the date of service of the Particulars of Claim (POC).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4E0549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2ACF02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55EA5D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C8B4D6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28AA3DB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C46714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Defence Extension (Agreement)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94AAF3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Up to 28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5B99F6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r. 15.5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FD8A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FBA0F0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Parties can agree an extension without a court order.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7D8368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6CAB62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049C42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D8E755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59F2784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67F84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Directions Questionnaire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2B53B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Date specified in Notice of Allocation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010AB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765E0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15C9583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Usually 14 or 28 days depending on the track.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48359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DDDB8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215A40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06FDFDE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74973E1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F656B9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Small Claims Track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3EAC3F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Up to £10,000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4BC2E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BEC58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404AD0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straightforward, lower-value disputes.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6CA45C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9E99E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7E83B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4061A8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C59C4D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267B09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Fast Track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BF4D59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£10,000 to £25,000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B1069C5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A4309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38B69D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Trial usually lasts no more than one day.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4B0699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7FFA97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2B779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8237C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1103011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441A6A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Intermediate Track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30B6C32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£25,000 to £100,000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F7264A4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A667D57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76B6AE5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cases that are not too complex for a standard timetable.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4ABD79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E20267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9BE132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77CA2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63DC3E5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34F77E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Multi-Track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245066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Over £100,000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80409F9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26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5AA21F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N/A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5C0B03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For high-value or complex cases requiring bespoke directions.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77646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01C298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B863A3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518E1B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325DF0D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D9A21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Trial Bundle Filing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AA3734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3 to 7 days before trial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50D6691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39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09C3E46A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37F497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Usually filed by the claimant’s solicitor.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EDD60A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FCAD0E7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56593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1B0F320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3A3340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63BD11D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Permission to Appeal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1201A0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21 days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34EDD81B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CPR Part 52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DBF4698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Calendar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bottom w:w="20" w:type="dxa"/>
            </w:tcMar>
            <w:vAlign w:val="bottom"/>
          </w:tcPr>
          <w:p w14:paraId="075978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jc w:val="left"/>
              <w:textAlignment w:val="bottom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kern w:val="0"/>
                <w:sz w:val="20"/>
                <w:szCs w:val="20"/>
                <w:bdr w:val="none" w:color="auto" w:sz="0" w:space="0"/>
                <w:lang w:val="en-US" w:eastAsia="zh-CN" w:bidi="ar"/>
              </w:rPr>
              <w:t>From the date of the decision of the lower court.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C4AF03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D552F2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909625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2ABCCA5A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  <w:tr w14:paraId="429C7BC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DBBE91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432AD95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6EBFB708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734739D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D620DEC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1B58BF1F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91012F4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54017891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20" w:type="dxa"/>
              <w:left w:w="30" w:type="dxa"/>
              <w:bottom w:w="20" w:type="dxa"/>
              <w:right w:w="30" w:type="dxa"/>
            </w:tcMar>
            <w:vAlign w:val="bottom"/>
          </w:tcPr>
          <w:p w14:paraId="761836B6">
            <w:pPr>
              <w:rPr>
                <w:rFonts w:hint="default" w:ascii="Arial" w:hAnsi="Arial" w:cs="Arial"/>
                <w:sz w:val="20"/>
                <w:szCs w:val="20"/>
              </w:rPr>
            </w:pPr>
          </w:p>
        </w:tc>
      </w:tr>
    </w:tbl>
    <w:p w14:paraId="729E955B">
      <w:pPr>
        <w:pStyle w:val="2"/>
        <w:rPr>
          <w:rFonts w:hint="default"/>
          <w:lang w:val="en-GB"/>
        </w:rPr>
      </w:pPr>
      <w:r>
        <w:t xml:space="preserve"> SQE</w:t>
      </w:r>
      <w:r>
        <w:rPr>
          <w:rFonts w:hint="default"/>
          <w:lang w:val="en-GB"/>
        </w:rPr>
        <w:t xml:space="preserve"> </w:t>
      </w:r>
      <w:r>
        <w:t xml:space="preserve">Key Time Frames and Deadlines </w:t>
      </w:r>
      <w:r>
        <w:rPr>
          <w:rFonts w:hint="default"/>
          <w:lang w:val="en-GB"/>
        </w:rPr>
        <w:t>for Dispute resolution</w:t>
      </w:r>
      <w:bookmarkStart w:id="0" w:name="_GoBack"/>
      <w:bookmarkEnd w:id="0"/>
    </w:p>
    <w:p w14:paraId="7C1EF5B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C7009"/>
    <w:rsid w:val="6F3C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2026-01-24T23:05:00Z</dcterms:created>
  <dc:creator>Korede Tibetan</dc:creator>
  <cp:lastModifiedBy>Korede Tibetan</cp:lastModifiedBy>
  <dcterms:modified xsi:type="dcterms:W3CDTF">2026-01-24T23:07:15Z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EE4095165F324E38B5AA4E2632E9CA98_11</vt:lpwstr>
  </property>
</Properties>
</file>