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850" w:tblpY="2384"/>
        <w:tblOverlap w:val="never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1699"/>
        <w:gridCol w:w="1394"/>
        <w:gridCol w:w="879"/>
        <w:gridCol w:w="2504"/>
        <w:gridCol w:w="66"/>
        <w:gridCol w:w="66"/>
        <w:gridCol w:w="66"/>
        <w:gridCol w:w="67"/>
      </w:tblGrid>
      <w:tr w14:paraId="1B5F74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8AAF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Stage / 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9280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Limit /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FF5D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B578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815C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7678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F23B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E3FA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79BB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1A981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B745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Payment (Death)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0CBB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 of 6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1A12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5B74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EFD0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Due by the end of the 6th month after the month of death.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89B6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1F345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FDCB2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7266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AB68C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82DF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on LCTs (Apr-Sep)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AC90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By 30 April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B38E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2D77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1633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lifetime transfers made between 6 April and 30 September.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EC78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5182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E923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B0BB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FB19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8A4E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on PETs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0ACC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 of 6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7AA9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92F7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AFBD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Due 6 months after the end of the month of death if the PET becomes taxable.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EAE31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7099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B0F37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DA6C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0DFE9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7AB9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Correction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339D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6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9A71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BFFC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B398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Deadline to notify HMRC after discovering an error in the account.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86EA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B35D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70BE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DB6D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9CE1E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7CC0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Grant of Representation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F13F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 months (Recommended)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94F5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Inheritance Act 1975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0389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D4AC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PRs should wait this long before distribution to protect against 1975 Act claims.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85701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7BBA4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F0E07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1D6B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F0801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4B0B2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Section 27 Notice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B973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 least 2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26353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Trustee Act 1925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91917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8CE0B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Period creditors have to come forward after advertisement before PRs distribute assets.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A271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83212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30270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AA593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A8D268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A9AF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Variation of a Will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F8C7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2 years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2B22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 / TCGA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D2A4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C936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Time limit for a variation to be "read back" into the will for tax purposes.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01234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7E62D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A524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608BD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7998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8C43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Disclaimer of a Gift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A58A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2 years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5EEA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 s. 142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D62E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7043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 ensure the disclaimer has no adverse tax consequences for the original beneficiary.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FDF1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C0D8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C7C80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A679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A62A8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3888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AML Moratorium Period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8CFD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31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B252D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POCA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EC19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6AB3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The period the NCA has to investigate after a SAR is submitted and consent is initially refused.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7511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337A4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684A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940D8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631F0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4035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Internal Complaint Response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8B36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 weeks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DF69B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Legal Ombudsman (LeO)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6388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D75C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Maximum time for a firm to resolve an internal complaint before the client goes to the LeO.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FBEA2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68D2F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BB41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061A7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B86A13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1FE7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Filing Special Resolutions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D54C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6EFAC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D079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64DC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incorporated firms making constitutional changes.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AAE7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EFDE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E956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4110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2F4A83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6B8C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Charge Registration (Firm)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A8D9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21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188A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C906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4CE9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Deadline to register security over firm assets at Companies House.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02B2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097E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A377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B7A1B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65D9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A690C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of General Meeting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2C60D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 least 14 clear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D661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D378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EEFF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required for shareholders of incorporated firms.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C456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1691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C9B4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620C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609EDC49">
      <w:pPr>
        <w:pStyle w:val="2"/>
        <w:rPr>
          <w:rFonts w:hint="default"/>
          <w:lang w:val="en-GB"/>
        </w:rPr>
      </w:pPr>
      <w:r>
        <w:t xml:space="preserve"> 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>for Legal services</w:t>
      </w:r>
      <w:bookmarkStart w:id="0" w:name="_GoBack"/>
      <w:bookmarkEnd w:id="0"/>
    </w:p>
    <w:p w14:paraId="5AC165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A366C"/>
    <w:rsid w:val="320A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2026-01-24T23:30:00Z</dcterms:created>
  <dc:creator>Korede Tibetan</dc:creator>
  <cp:lastModifiedBy>Korede Tibetan</cp:lastModifiedBy>
  <dcterms:modified xsi:type="dcterms:W3CDTF">2026-01-24T23:32:00Z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B1EB435B69A14D3AB183AFAB9DA7CC71_11</vt:lpwstr>
  </property>
</Properties>
</file>