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1769" w:tblpY="1945"/>
        <w:tblOverlap w:val="never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716"/>
        <w:gridCol w:w="1310"/>
        <w:gridCol w:w="884"/>
        <w:gridCol w:w="2481"/>
        <w:gridCol w:w="66"/>
        <w:gridCol w:w="66"/>
        <w:gridCol w:w="66"/>
      </w:tblGrid>
      <w:tr w14:paraId="12D8C11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55C08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FE29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 Limit / Deadline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2BE7F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Authority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C83CF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Day 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9D4D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5D44D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2531C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74A3D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94551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DA74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EPC Provision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7A6B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7 days of marketing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3A8E1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EPC Regulations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C12F0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7D28D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Preferably within 7 days; absolute maximum of 28 days.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BD3E39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DB01B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F0C0E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426698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5987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Planning Enforcement (Operational)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7DA7E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 years from breach (pre-25 April 2024)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26D16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TCPA 1990 s. 171B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5E84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59B6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Building works or change of use to single dwelling.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5A589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02FCA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D253B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470CD7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DC4B8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Planning Enforcement (General)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6D15F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 years from breach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195AC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TCPA 1990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D3D86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A070F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Standard limit for all breaches in England as of April 2024.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97635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4299F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422F9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D5952F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9014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Enforcement Notice Appeal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3D625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Before the 28th day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5EEF7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TCPA 1990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1E48B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A8FA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 enforcement notice becomes effective 28 days after service.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BBE6B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0A97D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D3BAE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326885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0D5D3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Notice to Complete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0B656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 working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E457B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SC / SCPC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894EC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Working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16766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 of the essence: period to complete once notice is served.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B3997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0A111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0EEB1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A3C5C0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9D644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Land Registry (OS1) Priority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66C0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30 working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334F7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LRA 2002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68D14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Working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CE3E9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Protects the buyer/lender's application against other entries.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DAE5A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66D72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8F556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DB8F21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57BF6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Land Charges (K15) Priority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8B56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 working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41033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LCA 1972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6D506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Working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4985E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Used for unregistered land to protect against subsequent entries.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BC7D0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84E60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C49DD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30016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6049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SDLT Submission (England)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01E55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14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B35A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Finance Act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F4123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20A62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Deadline for submitting the return and paying tax to HMRC.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BD7EC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54C4E9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67CC2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2395D1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9322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LTT Submission (Wales)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547D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30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32CA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LTT (Wales)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9159C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FAE8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Deadline for submitting the return and paying tax to the WRA.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8BC09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C5757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7E93E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3910E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63A9E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Companies House Registration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0CFEC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21 days from creation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A3051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Companies Act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CA32D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48AC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 register a mortgage if the buyer is a company.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2AC83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EBEDC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944E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95EFCA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E13CD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First Registration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33320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 months from completion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74D86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LRA 2002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716FE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158A3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Mandatory for transactions triggering first registration.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605B9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8BB4C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5C973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8B3CEC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27BC5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Section 25 Notice (Landlord)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E8159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6–12 months before 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5D7E0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LTA 1954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2310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C7721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Notice to terminate or renew a business tenancy.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72691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55543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D6624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CE1B1C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49298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Section 26 Request (Tenant)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A8A5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6–12 months before start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E598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LTA 1954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69B865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C713A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Tenant’s request for a new business lease.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A7A14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CFDFB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6AE20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B2DE02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8F652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Notice of Assignment (Lease)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469CF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Usually 1 month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48DC0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Lease terms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A08A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862CE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Assignee notifies the landlord of the transfer.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75906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AAD18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5D702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D9E28A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3B22E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9B990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4A08F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5BB53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CADBF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3031E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712501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B46601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2CB52315">
      <w:pPr>
        <w:pStyle w:val="2"/>
      </w:pPr>
      <w:r>
        <w:t>SQE</w:t>
      </w:r>
      <w:r>
        <w:rPr>
          <w:rFonts w:hint="default"/>
          <w:lang w:val="en-GB"/>
        </w:rPr>
        <w:t xml:space="preserve"> </w:t>
      </w:r>
      <w:r>
        <w:t xml:space="preserve">Key Time Frames and Deadlines </w:t>
      </w:r>
      <w:r>
        <w:rPr>
          <w:rFonts w:hint="default"/>
          <w:lang w:val="en-GB"/>
        </w:rPr>
        <w:t xml:space="preserve">for Property </w:t>
      </w:r>
      <w:bookmarkStart w:id="0" w:name="_GoBack"/>
      <w:bookmarkEnd w:id="0"/>
      <w:r>
        <w:t>Practice</w:t>
      </w:r>
    </w:p>
    <w:p w14:paraId="45D81D80"/>
    <w:p w14:paraId="025FC39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22556"/>
    <w:rsid w:val="1022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2026-01-24T22:49:00Z</dcterms:created>
  <dc:creator>Korede Tibetan</dc:creator>
  <cp:lastModifiedBy>Korede Tibetan</cp:lastModifiedBy>
  <dcterms:modified xsi:type="dcterms:W3CDTF">2026-01-24T22:52:49Z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B751CE581DF549C4AA1B052EABBB713D_11</vt:lpwstr>
  </property>
</Properties>
</file>