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nil"/>
              <w:bottom w:val="nil"/>
              <w:right w:val="nil"/>
            </w:tcBorders>
            <w:shd w:val="clear" w:color="auto" w:fill="0C2649"/>
            <w:tcMar>
              <w:top w:w="420" w:type="dxa"/>
              <w:left w:w="340" w:type="dxa"/>
              <w:bottom w:w="400" w:type="dxa"/>
              <w:right w:w="340" w:type="dxa"/>
            </w:tcMar>
            <w:vAlign w:val="top"/>
          </w:tcPr>
          <w:tbl>
            <w:tblPr>
              <w:tblW w:w="94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5000"/>
              <w:gridCol w:w="4400"/>
            </w:tblGrid>
            <w:tr>
              <w:trPr>
                <w:cantSplit/>
              </w:trPr>
              <w:tc>
                <w:tcPr>
                  <w:tcW w:w="5000" w:type="dxa"/>
                  <w:tcBorders>
                    <w:top w:val="nil"/>
                    <w:left w:val="nil"/>
                    <w:bottom w:val="nil"/>
                    <w:right w:val="nil"/>
                  </w:tcBorders>
                  <w:tcMar>
                    <w:top w:w="0" w:type="dxa"/>
                    <w:left w:w="0" w:type="dxa"/>
                    <w:bottom w:w="0" w:type="dxa"/>
                    <w:right w:w="0" w:type="dxa"/>
                  </w:tcMar>
                  <w:vAlign w:val="top"/>
                </w:tcPr>
                <w:p>
                  <w:pPr>
                    <w:keepLines/>
                    <w:spacing w:before="0" w:after="0" w:line="276" w:lineRule="auto"/>
                  </w:pPr>
                  <w:r>
                    <w:drawing>
                      <wp:inline distT="0" distB="0" distL="0" distR="0">
                        <wp:extent cx="914400" cy="241063"/>
                        <wp:effectExtent l="0" t="0" r="0" b="0"/>
                        <wp:docPr id="101" name="Auditable"/>
                        <wp:cNvGraphicFramePr>
                          <a:graphicFrameLocks noChangeAspect="1"/>
                        </wp:cNvGraphicFramePr>
                        <a:graphic>
                          <a:graphicData uri="http://schemas.openxmlformats.org/drawingml/2006/picture">
                            <pic:pic>
                              <pic:nvPicPr>
                                <pic:cNvPr id="101" name="Auditable"/>
                                <pic:cNvPicPr/>
                              </pic:nvPicPr>
                              <pic:blipFill>
                                <a:blip r:embed="rId10"/>
                                <a:stretch>
                                  <a:fillRect/>
                                </a:stretch>
                              </pic:blipFill>
                              <pic:spPr>
                                <a:xfrm>
                                  <a:off x="0" y="0"/>
                                  <a:ext cx="914400" cy="241063"/>
                                </a:xfrm>
                                <a:prstGeom prst="rect">
                                  <a:avLst/>
                                </a:prstGeom>
                              </pic:spPr>
                            </pic:pic>
                          </a:graphicData>
                        </a:graphic>
                      </wp:inline>
                    </w:drawing>
                  </w:r>
                </w:p>
              </w:tc>
              <w:tc>
                <w:tcPr>
                  <w:tcW w:w="4400" w:type="dxa"/>
                  <w:tcBorders>
                    <w:top w:val="nil"/>
                    <w:left w:val="nil"/>
                    <w:bottom w:val="nil"/>
                    <w:right w:val="nil"/>
                  </w:tcBorders>
                  <w:tcMar>
                    <w:top w:w="0" w:type="dxa"/>
                    <w:left w:w="0" w:type="dxa"/>
                    <w:bottom w:w="0" w:type="dxa"/>
                    <w:right w:w="0" w:type="dxa"/>
                  </w:tcMar>
                  <w:vAlign w:val="top"/>
                </w:tcPr>
                <w:p>
                  <w:pPr>
                    <w:keepLines/>
                    <w:spacing w:before="0" w:after="20" w:line="230" w:lineRule="auto"/>
                    <w:jc w:val="right"/>
                  </w:pPr>
                  <w:r>
                    <w:rPr>
                      <w:rFonts w:ascii="IBM Plex Sans" w:hAnsi="IBM Plex Sans" w:cs="IBM Plex Sans"/>
                      <w:color w:val="C5E3EF"/>
                      <w:sz w:val="16"/>
                      <w:szCs w:val="16"/>
                    </w:rPr>
                    <w:t xml:space="preserve">Informe societario</w:t>
                  </w:r>
                </w:p>
                <w:p>
                  <w:pPr>
                    <w:keepLines/>
                    <w:spacing w:before="0" w:after="0" w:line="230" w:lineRule="auto"/>
                    <w:jc w:val="right"/>
                  </w:pPr>
                  <w:r>
                    <w:rPr>
                      <w:rFonts w:ascii="IBM Plex Sans" w:hAnsi="IBM Plex Sans" w:cs="IBM Plex Sans"/>
                      <w:color w:val="C5E3EF"/>
                      <w:sz w:val="16"/>
                      <w:szCs w:val="16"/>
                    </w:rPr>
                    <w:t xml:space="preserve">23 de septiembre de 2026</w:t>
                  </w:r>
                </w:p>
              </w:tc>
            </w:tr>
          </w:tbl>
          <w:p>
            <w:pPr>
              <w:spacing w:before="0" w:after="420" w:line="20" w:lineRule="exact"/>
            </w:pPr>
          </w:p>
          <w:p>
            <w:pPr>
              <w:pBdr>
                <w:top w:val="single" w:sz="30" w:space="0" w:color="F20530"/>
              </w:pBdr>
              <w:spacing w:before="0" w:after="200" w:line="20" w:lineRule="exact"/>
              <w:ind w:right="8500"/>
            </w:pPr>
          </w:p>
          <w:p>
            <w:pPr>
              <w:keepLines/>
              <w:spacing w:before="0" w:after="120" w:line="240" w:lineRule="auto"/>
            </w:pPr>
            <w:r>
              <w:rPr>
                <w:rFonts w:ascii="IBM Plex Sans" w:hAnsi="IBM Plex Sans" w:cs="IBM Plex Sans"/>
                <w:b/>
                <w:spacing w:val="30"/>
                <w:color w:val="F20530"/>
                <w:sz w:val="16"/>
                <w:szCs w:val="16"/>
              </w:rPr>
              <w:t xml:space="preserve">GUÍA DE TRÁMITE · REGISTRO DE EMPRESAS Y SOCIEDADES</w:t>
            </w:r>
          </w:p>
          <w:p>
            <w:pPr>
              <w:keepLines/>
              <w:spacing w:before="0" w:after="0" w:line="260" w:lineRule="auto"/>
            </w:pPr>
            <w:r>
              <w:rPr>
                <w:rFonts w:ascii="IBM Plex Serif" w:hAnsi="IBM Plex Serif" w:cs="IBM Plex Serif"/>
                <w:b/>
                <w:color w:val="FFFFFF"/>
                <w:sz w:val="44"/>
                <w:szCs w:val="44"/>
              </w:rPr>
              <w:t xml:space="preserve">Apertura del Libro de</w:t>
            </w:r>
          </w:p>
          <w:p>
            <w:pPr>
              <w:keepLines/>
              <w:spacing w:before="0" w:after="140" w:line="260" w:lineRule="auto"/>
            </w:pPr>
            <w:r>
              <w:rPr>
                <w:rFonts w:ascii="IBM Plex Serif" w:hAnsi="IBM Plex Serif" w:cs="IBM Plex Serif"/>
                <w:b/>
                <w:color w:val="FFFFFF"/>
                <w:sz w:val="44"/>
                <w:szCs w:val="44"/>
              </w:rPr>
              <w:t xml:space="preserve">Accionistas Electrónico</w:t>
            </w:r>
          </w:p>
          <w:p>
            <w:pPr>
              <w:keepLines/>
              <w:spacing w:before="0" w:after="0" w:line="250" w:lineRule="auto"/>
            </w:pPr>
            <w:r>
              <w:rPr>
                <w:rFonts w:ascii="IBM Plex Sans" w:hAnsi="IBM Plex Sans" w:cs="IBM Plex Sans"/>
                <w:color w:val="C5E3EF"/>
                <w:sz w:val="21"/>
                <w:szCs w:val="21"/>
              </w:rPr>
              <w:t xml:space="preserve">SpA con Directorio · en RES</w:t>
            </w:r>
          </w:p>
        </w:tc>
      </w:tr>
    </w:tbl>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nil"/>
              <w:bottom w:val="nil"/>
              <w:right w:val="nil"/>
            </w:tcBorders>
            <w:shd w:val="clear" w:color="auto" w:fill="F20530"/>
            <w:tcMar>
              <w:top w:w="170" w:type="dxa"/>
              <w:left w:w="340" w:type="dxa"/>
              <w:bottom w:w="170" w:type="dxa"/>
              <w:right w:w="340" w:type="dxa"/>
            </w:tcMar>
            <w:vAlign w:val="top"/>
          </w:tcPr>
          <w:p>
            <w:pPr>
              <w:keepLines/>
              <w:spacing w:before="0" w:after="0" w:line="250" w:lineRule="auto"/>
            </w:pPr>
            <w:r>
              <w:rPr>
                <w:rFonts w:ascii="IBM Plex Sans" w:hAnsi="IBM Plex Sans" w:cs="IBM Plex Sans"/>
                <w:color w:val="FFFFFF"/>
                <w:sz w:val="18"/>
                <w:szCs w:val="18"/>
              </w:rPr>
              <w:t xml:space="preserve">Portal  </w:t>
            </w:r>
            <w:r>
              <w:rPr>
                <w:rFonts w:ascii="IBM Plex Sans" w:hAnsi="IBM Plex Sans" w:cs="IBM Plex Sans"/>
                <w:b/>
                <w:color w:val="FFFFFF"/>
                <w:sz w:val="18"/>
                <w:szCs w:val="18"/>
              </w:rPr>
              <w:t xml:space="preserve">registrodeempresasysociedades.cl</w:t>
            </w:r>
            <w:r>
              <w:rPr>
                <w:rFonts w:ascii="IBM Plex Sans" w:hAnsi="IBM Plex Sans" w:cs="IBM Plex Sans"/>
                <w:color w:val="FFFFFF"/>
                <w:sz w:val="18"/>
                <w:szCs w:val="18"/>
              </w:rPr>
              <w:t xml:space="preserve">     ·     Base legal  </w:t>
            </w:r>
            <w:r>
              <w:rPr>
                <w:rFonts w:ascii="IBM Plex Sans" w:hAnsi="IBM Plex Sans" w:cs="IBM Plex Sans"/>
                <w:b/>
                <w:color w:val="FFFFFF"/>
                <w:sz w:val="18"/>
                <w:szCs w:val="18"/>
              </w:rPr>
              <w:t xml:space="preserve">Ley 20.659 · Ley 21.366</w:t>
            </w:r>
          </w:p>
        </w:tc>
      </w:tr>
    </w:tbl>
    <w:p>
      <w:pPr>
        <w:spacing w:before="0" w:after="360" w:line="20" w:lineRule="exact"/>
      </w:pPr>
    </w:p>
    <w:p>
      <w:pPr>
        <w:keepNext/>
        <w:keepLines/>
        <w:spacing w:before="0" w:after="0" w:line="260" w:lineRule="auto"/>
      </w:pPr>
      <w:r>
        <w:rPr>
          <w:rFonts w:ascii="IBM Plex Serif" w:hAnsi="IBM Plex Serif" w:cs="IBM Plex Serif"/>
          <w:b/>
          <w:color w:val="F20530"/>
          <w:sz w:val="20"/>
          <w:szCs w:val="20"/>
        </w:rPr>
        <w:t xml:space="preserve">01   </w:t>
      </w:r>
      <w:r>
        <w:rPr>
          <w:rFonts w:ascii="IBM Plex Serif" w:hAnsi="IBM Plex Serif" w:cs="IBM Plex Serif"/>
          <w:b/>
          <w:color w:val="0C2649"/>
          <w:sz w:val="28"/>
          <w:szCs w:val="28"/>
        </w:rPr>
        <w:t xml:space="preserve">Contexto y objetivo</w:t>
      </w:r>
    </w:p>
    <w:p>
      <w:pPr>
        <w:keepNext/>
        <w:pBdr>
          <w:bottom w:val="single" w:sz="12" w:space="4" w:color="0C2649"/>
        </w:pBdr>
        <w:spacing w:before="0" w:after="200" w:line="20" w:lineRule="exact"/>
      </w:pPr>
    </w:p>
    <w:p>
      <w:pPr>
        <w:keepLines/>
        <w:spacing w:before="0" w:after="140" w:line="276" w:lineRule="auto"/>
        <w:jc w:val="both"/>
      </w:pPr>
      <w:r>
        <w:rPr>
          <w:rFonts w:ascii="IBM Plex Sans" w:hAnsi="IBM Plex Sans" w:cs="IBM Plex Sans"/>
          <w:color w:val="2C2C2C"/>
          <w:sz w:val="20"/>
          <w:szCs w:val="20"/>
        </w:rPr>
        <w:t xml:space="preserve">El </w:t>
      </w:r>
      <w:r>
        <w:rPr>
          <w:rFonts w:ascii="IBM Plex Sans" w:hAnsi="IBM Plex Sans" w:cs="IBM Plex Sans"/>
          <w:b/>
          <w:color w:val="2C2C2C"/>
          <w:sz w:val="20"/>
          <w:szCs w:val="20"/>
        </w:rPr>
        <w:t xml:space="preserve">Libro de Accionistas Electrónico (LAE)</w:t>
      </w:r>
      <w:r>
        <w:rPr>
          <w:rFonts w:ascii="IBM Plex Sans" w:hAnsi="IBM Plex Sans" w:cs="IBM Plex Sans"/>
          <w:color w:val="2C2C2C"/>
          <w:sz w:val="20"/>
          <w:szCs w:val="20"/>
        </w:rPr>
        <w:t xml:space="preserve"> es obligatorio para todas las sociedades de capital —SpA, S.A. y S.A. de Garantía Recíproca— inscritas en el sistema Empresa en un Día, y se lleva exclusivamente en línea en el portal </w:t>
      </w:r>
      <w:r>
        <w:rPr>
          <w:rFonts w:ascii="IBM Plex Sans" w:hAnsi="IBM Plex Sans" w:cs="IBM Plex Sans"/>
          <w:b/>
          <w:color w:val="2C2C2C"/>
          <w:sz w:val="20"/>
          <w:szCs w:val="20"/>
        </w:rPr>
        <w:t xml:space="preserve">registrodeempresasysociedades.cl</w:t>
      </w:r>
      <w:r>
        <w:rPr>
          <w:rFonts w:ascii="IBM Plex Sans" w:hAnsi="IBM Plex Sans" w:cs="IBM Plex Sans"/>
          <w:color w:val="2C2C2C"/>
          <w:sz w:val="20"/>
          <w:szCs w:val="20"/>
        </w:rPr>
        <w:t xml:space="preserve"> (RES). Mientras el libro no esté abierto, el sistema </w:t>
      </w:r>
      <w:r>
        <w:rPr>
          <w:rFonts w:ascii="IBM Plex Sans" w:hAnsi="IBM Plex Sans" w:cs="IBM Plex Sans"/>
          <w:b/>
          <w:color w:val="2C2C2C"/>
          <w:sz w:val="20"/>
          <w:szCs w:val="20"/>
        </w:rPr>
        <w:t xml:space="preserve">bloquea cualquier modificación de la sociedad</w:t>
      </w:r>
      <w:r>
        <w:rPr>
          <w:rFonts w:ascii="IBM Plex Sans" w:hAnsi="IBM Plex Sans" w:cs="IBM Plex Sans"/>
          <w:color w:val="2C2C2C"/>
          <w:sz w:val="20"/>
          <w:szCs w:val="20"/>
        </w:rPr>
        <w:t xml:space="preserve">: cambios de estatutos, compraventas de acciones, aumentos o disminuciones de capital, disolución, etc.</w:t>
      </w:r>
    </w:p>
    <w:p>
      <w:pPr>
        <w:keepNext/>
        <w:keepLines/>
        <w:spacing w:before="0" w:after="160" w:line="276" w:lineRule="auto"/>
        <w:jc w:val="both"/>
      </w:pPr>
      <w:r>
        <w:rPr>
          <w:rFonts w:ascii="IBM Plex Sans" w:hAnsi="IBM Plex Sans" w:cs="IBM Plex Sans"/>
          <w:color w:val="2C2C2C"/>
          <w:sz w:val="20"/>
          <w:szCs w:val="20"/>
        </w:rPr>
        <w:t xml:space="preserve">Cuando la sociedad </w:t>
      </w:r>
      <w:r>
        <w:rPr>
          <w:rFonts w:ascii="IBM Plex Sans" w:hAnsi="IBM Plex Sans" w:cs="IBM Plex Sans"/>
          <w:b/>
          <w:color w:val="2C2C2C"/>
          <w:sz w:val="20"/>
          <w:szCs w:val="20"/>
        </w:rPr>
        <w:t xml:space="preserve">está administrada por un directorio</w:t>
      </w:r>
      <w:r>
        <w:rPr>
          <w:rFonts w:ascii="IBM Plex Sans" w:hAnsi="IBM Plex Sans" w:cs="IBM Plex Sans"/>
          <w:color w:val="2C2C2C"/>
          <w:sz w:val="20"/>
          <w:szCs w:val="20"/>
        </w:rPr>
        <w:t xml:space="preserve">, la apertura sigue un orden obligatorio de dos etapas:</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980"/>
        <w:gridCol w:w="120"/>
        <w:gridCol w:w="4980"/>
      </w:tblGrid>
      <w:tr>
        <w:trPr>
          <w:cantSplit/>
        </w:trPr>
        <w:tc>
          <w:tcPr>
            <w:tcW w:w="4980" w:type="dxa"/>
            <w:tcBorders>
              <w:top w:val="nil"/>
              <w:left w:val="nil"/>
              <w:bottom w:val="nil"/>
              <w:right w:val="nil"/>
            </w:tcBorders>
            <w:shd w:val="clear" w:color="auto" w:fill="0C2649"/>
            <w:tcMar>
              <w:top w:w="170" w:type="dxa"/>
              <w:left w:w="200" w:type="dxa"/>
              <w:bottom w:w="170" w:type="dxa"/>
              <w:right w:w="180" w:type="dxa"/>
            </w:tcMar>
            <w:vAlign w:val="top"/>
          </w:tcPr>
          <w:p>
            <w:pPr>
              <w:keepNext/>
              <w:keepLines/>
              <w:spacing w:before="0" w:after="80" w:line="230" w:lineRule="auto"/>
            </w:pPr>
            <w:r>
              <w:rPr>
                <w:rFonts w:ascii="IBM Plex Sans" w:hAnsi="IBM Plex Sans" w:cs="IBM Plex Sans"/>
                <w:b/>
                <w:caps/>
                <w:spacing w:val="24"/>
                <w:color w:val="F20530"/>
                <w:sz w:val="15"/>
                <w:szCs w:val="15"/>
              </w:rPr>
              <w:t xml:space="preserve">Etapa 1</w:t>
            </w:r>
          </w:p>
          <w:p>
            <w:pPr>
              <w:keepNext/>
              <w:keepLines/>
              <w:spacing w:before="0" w:after="80" w:line="250" w:lineRule="auto"/>
            </w:pPr>
            <w:r>
              <w:rPr>
                <w:rFonts w:ascii="IBM Plex Serif" w:hAnsi="IBM Plex Serif" w:cs="IBM Plex Serif"/>
                <w:b/>
                <w:color w:val="FFFFFF"/>
                <w:sz w:val="23"/>
                <w:szCs w:val="23"/>
              </w:rPr>
              <w:t xml:space="preserve">Registrar al representante del directorio en el Registro de Poderes</w:t>
            </w:r>
          </w:p>
          <w:p>
            <w:pPr>
              <w:keepLines/>
              <w:spacing w:before="0" w:after="0" w:line="258" w:lineRule="auto"/>
              <w:jc w:val="both"/>
            </w:pPr>
            <w:r>
              <w:rPr>
                <w:rFonts w:ascii="IBM Plex Sans" w:hAnsi="IBM Plex Sans" w:cs="IBM Plex Sans"/>
                <w:color w:val="C5E3EF"/>
                <w:sz w:val="18"/>
                <w:szCs w:val="18"/>
              </w:rPr>
              <w:t xml:space="preserve">Sin un gerente o administrador habilitado en la plataforma, el sistema no permite cerrar la firma del libro y aparece el aviso “la sociedad no cuenta con Registro de Accionistas”.</w:t>
            </w:r>
          </w:p>
        </w:tc>
        <w:tc>
          <w:tcPr>
            <w:tcW w:w="1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4980" w:type="dxa"/>
            <w:tcBorders>
              <w:top w:val="nil"/>
              <w:left w:val="single" w:sz="18" w:space="0" w:color="0C2649"/>
              <w:bottom w:val="nil"/>
              <w:right w:val="nil"/>
            </w:tcBorders>
            <w:shd w:val="clear" w:color="auto" w:fill="F7F8FA"/>
            <w:tcMar>
              <w:top w:w="170" w:type="dxa"/>
              <w:left w:w="200" w:type="dxa"/>
              <w:bottom w:w="170" w:type="dxa"/>
              <w:right w:w="180" w:type="dxa"/>
            </w:tcMar>
            <w:vAlign w:val="top"/>
          </w:tcPr>
          <w:p>
            <w:pPr>
              <w:keepNext/>
              <w:keepLines/>
              <w:spacing w:before="0" w:after="80" w:line="230" w:lineRule="auto"/>
            </w:pPr>
            <w:r>
              <w:rPr>
                <w:rFonts w:ascii="IBM Plex Sans" w:hAnsi="IBM Plex Sans" w:cs="IBM Plex Sans"/>
                <w:b/>
                <w:caps/>
                <w:spacing w:val="24"/>
                <w:color w:val="0C2649"/>
                <w:sz w:val="15"/>
                <w:szCs w:val="15"/>
              </w:rPr>
              <w:t xml:space="preserve">Etapa 2</w:t>
            </w:r>
          </w:p>
          <w:p>
            <w:pPr>
              <w:keepNext/>
              <w:keepLines/>
              <w:spacing w:before="0" w:after="80" w:line="250" w:lineRule="auto"/>
            </w:pPr>
            <w:r>
              <w:rPr>
                <w:rFonts w:ascii="IBM Plex Serif" w:hAnsi="IBM Plex Serif" w:cs="IBM Plex Serif"/>
                <w:b/>
                <w:color w:val="0C2649"/>
                <w:sz w:val="23"/>
                <w:szCs w:val="23"/>
              </w:rPr>
              <w:t xml:space="preserve">Abrir el Libro de Accionistas Electrónico</w:t>
            </w:r>
          </w:p>
          <w:p>
            <w:pPr>
              <w:keepLines/>
              <w:spacing w:before="0" w:after="0" w:line="258" w:lineRule="auto"/>
              <w:jc w:val="both"/>
            </w:pPr>
            <w:r>
              <w:rPr>
                <w:rFonts w:ascii="IBM Plex Sans" w:hAnsi="IBM Plex Sans" w:cs="IBM Plex Sans"/>
                <w:color w:val="2C2C2C"/>
                <w:sz w:val="18"/>
                <w:szCs w:val="18"/>
              </w:rPr>
              <w:t xml:space="preserve">Firmado por ese representante ya inscrito.</w:t>
            </w:r>
          </w:p>
        </w:tc>
      </w:tr>
    </w:tbl>
    <w:p>
      <w:pPr>
        <w:spacing w:before="0" w:after="160" w:line="20" w:lineRule="exact"/>
      </w:pPr>
    </w:p>
    <w:p>
      <w:pPr>
        <w:keepLines/>
        <w:spacing w:before="0" w:after="120" w:line="276" w:lineRule="auto"/>
        <w:jc w:val="both"/>
      </w:pPr>
      <w:r>
        <w:rPr>
          <w:rFonts w:ascii="IBM Plex Sans" w:hAnsi="IBM Plex Sans" w:cs="IBM Plex Sans"/>
          <w:color w:val="2C2C2C"/>
          <w:sz w:val="20"/>
          <w:szCs w:val="20"/>
        </w:rPr>
        <w:t xml:space="preserve">Este informe desarrolla ambas etapas en ese orden.</w:t>
      </w:r>
    </w:p>
    <w:p>
      <w:pPr>
        <w:spacing w:before="0" w:after="300" w:line="20" w:lineRule="exact"/>
      </w:pPr>
    </w:p>
    <w:p>
      <w:pPr>
        <w:keepNext/>
        <w:keepLines/>
        <w:spacing w:before="0" w:after="0" w:line="260" w:lineRule="auto"/>
      </w:pPr>
      <w:r>
        <w:rPr>
          <w:rFonts w:ascii="IBM Plex Serif" w:hAnsi="IBM Plex Serif" w:cs="IBM Plex Serif"/>
          <w:b/>
          <w:color w:val="F20530"/>
          <w:sz w:val="20"/>
          <w:szCs w:val="20"/>
        </w:rPr>
        <w:t xml:space="preserve">02   </w:t>
      </w:r>
      <w:r>
        <w:rPr>
          <w:rFonts w:ascii="IBM Plex Serif" w:hAnsi="IBM Plex Serif" w:cs="IBM Plex Serif"/>
          <w:b/>
          <w:color w:val="0C2649"/>
          <w:sz w:val="28"/>
          <w:szCs w:val="28"/>
        </w:rPr>
        <w:t xml:space="preserve">Etapa 1 — Registrar al representante del directorio (Registro de Poderes)</w:t>
      </w:r>
    </w:p>
    <w:p>
      <w:pPr>
        <w:keepNext/>
        <w:pBdr>
          <w:bottom w:val="single" w:sz="12" w:space="4" w:color="0C2649"/>
        </w:pBdr>
        <w:spacing w:before="0" w:after="200" w:line="20" w:lineRule="exact"/>
      </w:pPr>
    </w:p>
    <w:p>
      <w:pPr>
        <w:keepLines/>
        <w:spacing w:before="0" w:after="220" w:line="276" w:lineRule="auto"/>
        <w:jc w:val="both"/>
      </w:pPr>
      <w:r>
        <w:rPr>
          <w:rFonts w:ascii="IBM Plex Sans" w:hAnsi="IBM Plex Sans" w:cs="IBM Plex Sans"/>
          <w:color w:val="2C2C2C"/>
          <w:sz w:val="20"/>
          <w:szCs w:val="20"/>
        </w:rPr>
        <w:t xml:space="preserve">La designación del representante se hace en el </w:t>
      </w:r>
      <w:r>
        <w:rPr>
          <w:rFonts w:ascii="IBM Plex Sans" w:hAnsi="IBM Plex Sans" w:cs="IBM Plex Sans"/>
          <w:b/>
          <w:color w:val="2C2C2C"/>
          <w:sz w:val="20"/>
          <w:szCs w:val="20"/>
        </w:rPr>
        <w:t xml:space="preserve">Registro de Poderes</w:t>
      </w:r>
      <w:r>
        <w:rPr>
          <w:rFonts w:ascii="IBM Plex Sans" w:hAnsi="IBM Plex Sans" w:cs="IBM Plex Sans"/>
          <w:color w:val="2C2C2C"/>
          <w:sz w:val="20"/>
          <w:szCs w:val="20"/>
        </w:rPr>
        <w:t xml:space="preserve"> (no en el de Accionistas). Como la sociedad tiene directorio, </w:t>
      </w:r>
      <w:r>
        <w:rPr>
          <w:rFonts w:ascii="IBM Plex Sans" w:hAnsi="IBM Plex Sans" w:cs="IBM Plex Sans"/>
          <w:b/>
          <w:color w:val="2C2C2C"/>
          <w:sz w:val="20"/>
          <w:szCs w:val="20"/>
        </w:rPr>
        <w:t xml:space="preserve">el otorgamiento del poder lo suscriben los directores</w:t>
      </w:r>
      <w:r>
        <w:rPr>
          <w:rFonts w:ascii="IBM Plex Sans" w:hAnsi="IBM Plex Sans" w:cs="IBM Plex Sans"/>
          <w:color w:val="2C2C2C"/>
          <w:sz w:val="20"/>
          <w:szCs w:val="20"/>
        </w:rPr>
        <w:t xml:space="preserve">, que deben quedar identificados en el “paso 2” del formulario.</w:t>
      </w:r>
    </w:p>
    <w:p>
      <w:pPr>
        <w:keepNext/>
        <w:keepLines/>
        <w:spacing w:before="0" w:after="140" w:line="276" w:lineRule="auto"/>
      </w:pPr>
      <w:r>
        <w:rPr>
          <w:rFonts w:ascii="IBM Plex Sans" w:hAnsi="IBM Plex Sans" w:cs="IBM Plex Sans"/>
          <w:b/>
          <w:color w:val="0C2649"/>
          <w:sz w:val="22"/>
          <w:szCs w:val="22"/>
        </w:rPr>
        <w:t xml:space="preserve">Antes de entrar: define el escenario</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980"/>
        <w:gridCol w:w="120"/>
        <w:gridCol w:w="4980"/>
      </w:tblGrid>
      <w:tr>
        <w:trPr>
          <w:cantSplit/>
        </w:trPr>
        <w:tc>
          <w:tcPr>
            <w:tcW w:w="4980" w:type="dxa"/>
            <w:tcBorders>
              <w:top w:val="nil"/>
              <w:left w:val="single" w:sz="18" w:space="0" w:color="F20530"/>
              <w:bottom w:val="nil"/>
              <w:right w:val="nil"/>
            </w:tcBorders>
            <w:shd w:val="clear" w:color="auto" w:fill="E6EAF1"/>
            <w:tcMar>
              <w:top w:w="170" w:type="dxa"/>
              <w:left w:w="200" w:type="dxa"/>
              <w:bottom w:w="170" w:type="dxa"/>
              <w:right w:w="180" w:type="dxa"/>
            </w:tcMar>
            <w:vAlign w:val="top"/>
          </w:tcPr>
          <w:p>
            <w:pPr>
              <w:keepNext/>
              <w:keepLines/>
              <w:spacing w:before="0" w:after="80" w:line="230" w:lineRule="auto"/>
            </w:pPr>
            <w:r>
              <w:rPr>
                <w:rFonts w:ascii="IBM Plex Sans" w:hAnsi="IBM Plex Sans" w:cs="IBM Plex Sans"/>
                <w:b/>
                <w:caps/>
                <w:spacing w:val="24"/>
                <w:color w:val="F20530"/>
                <w:sz w:val="15"/>
                <w:szCs w:val="15"/>
              </w:rPr>
              <w:t xml:space="preserve">Vía más corta</w:t>
            </w:r>
          </w:p>
          <w:p>
            <w:pPr>
              <w:keepNext/>
              <w:keepLines/>
              <w:spacing w:before="0" w:after="80" w:line="250" w:lineRule="auto"/>
            </w:pPr>
            <w:r>
              <w:rPr>
                <w:rFonts w:ascii="IBM Plex Sans" w:hAnsi="IBM Plex Sans" w:cs="IBM Plex Sans"/>
                <w:b/>
                <w:color w:val="0C2649"/>
                <w:sz w:val="20"/>
                <w:szCs w:val="20"/>
              </w:rPr>
              <w:t xml:space="preserve">Confirmar administrador provisorio</w:t>
            </w:r>
          </w:p>
          <w:p>
            <w:pPr>
              <w:keepLines/>
              <w:spacing w:before="0" w:after="0" w:line="258" w:lineRule="auto"/>
              <w:jc w:val="both"/>
            </w:pPr>
            <w:r>
              <w:rPr>
                <w:rFonts w:ascii="IBM Plex Sans" w:hAnsi="IBM Plex Sans" w:cs="IBM Plex Sans"/>
                <w:color w:val="2C2C2C"/>
                <w:sz w:val="18"/>
                <w:szCs w:val="18"/>
              </w:rPr>
              <w:t xml:space="preserve">Si en los estatutos de constitución quedaron nombrados administradores provisorios (gerente/administrador “provisorio”), el trámite es solo </w:t>
            </w:r>
            <w:r>
              <w:rPr>
                <w:rFonts w:ascii="IBM Plex Sans" w:hAnsi="IBM Plex Sans" w:cs="IBM Plex Sans"/>
                <w:b/>
                <w:color w:val="0C2649"/>
                <w:sz w:val="18"/>
                <w:szCs w:val="18"/>
              </w:rPr>
              <w:t xml:space="preserve">confirmarlos en el cargo</w:t>
            </w:r>
            <w:r>
              <w:rPr>
                <w:rFonts w:ascii="IBM Plex Sans" w:hAnsi="IBM Plex Sans" w:cs="IBM Plex Sans"/>
                <w:color w:val="2C2C2C"/>
                <w:sz w:val="18"/>
                <w:szCs w:val="18"/>
              </w:rPr>
              <w:t xml:space="preserve">. Es la vía más corta.</w:t>
            </w:r>
          </w:p>
        </w:tc>
        <w:tc>
          <w:tcPr>
            <w:tcW w:w="1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4980" w:type="dxa"/>
            <w:tcBorders>
              <w:top w:val="nil"/>
              <w:left w:val="single" w:sz="18" w:space="0" w:color="0C2649"/>
              <w:bottom w:val="nil"/>
              <w:right w:val="nil"/>
            </w:tcBorders>
            <w:shd w:val="clear" w:color="auto" w:fill="F7F8FA"/>
            <w:tcMar>
              <w:top w:w="170" w:type="dxa"/>
              <w:left w:w="200" w:type="dxa"/>
              <w:bottom w:w="170" w:type="dxa"/>
              <w:right w:w="180" w:type="dxa"/>
            </w:tcMar>
            <w:vAlign w:val="top"/>
          </w:tcPr>
          <w:p>
            <w:pPr>
              <w:keepNext/>
              <w:keepLines/>
              <w:spacing w:before="0" w:after="80" w:line="230" w:lineRule="auto"/>
            </w:pPr>
            <w:r>
              <w:rPr>
                <w:rFonts w:ascii="IBM Plex Sans" w:hAnsi="IBM Plex Sans" w:cs="IBM Plex Sans"/>
                <w:b/>
                <w:caps/>
                <w:spacing w:val="24"/>
                <w:color w:val="0C2649"/>
                <w:sz w:val="15"/>
                <w:szCs w:val="15"/>
              </w:rPr>
              <w:t xml:space="preserve">Sin designación previa</w:t>
            </w:r>
          </w:p>
          <w:p>
            <w:pPr>
              <w:keepNext/>
              <w:keepLines/>
              <w:spacing w:before="0" w:after="80" w:line="250" w:lineRule="auto"/>
            </w:pPr>
            <w:r>
              <w:rPr>
                <w:rFonts w:ascii="IBM Plex Sans" w:hAnsi="IBM Plex Sans" w:cs="IBM Plex Sans"/>
                <w:b/>
                <w:color w:val="0C2649"/>
                <w:sz w:val="20"/>
                <w:szCs w:val="20"/>
              </w:rPr>
              <w:t xml:space="preserve">Otorgar poder desde cero</w:t>
            </w:r>
          </w:p>
          <w:p>
            <w:pPr>
              <w:keepLines/>
              <w:spacing w:before="0" w:after="0" w:line="258" w:lineRule="auto"/>
              <w:jc w:val="both"/>
            </w:pPr>
            <w:r>
              <w:rPr>
                <w:rFonts w:ascii="IBM Plex Sans" w:hAnsi="IBM Plex Sans" w:cs="IBM Plex Sans"/>
                <w:color w:val="2C2C2C"/>
                <w:sz w:val="18"/>
                <w:szCs w:val="18"/>
              </w:rPr>
              <w:t xml:space="preserve">Si no hay nadie designado, el directorio </w:t>
            </w:r>
            <w:r>
              <w:rPr>
                <w:rFonts w:ascii="IBM Plex Sans" w:hAnsi="IBM Plex Sans" w:cs="IBM Plex Sans"/>
                <w:b/>
                <w:color w:val="0C2649"/>
                <w:sz w:val="18"/>
                <w:szCs w:val="18"/>
              </w:rPr>
              <w:t xml:space="preserve">otorga el poder al gerente general/administrador</w:t>
            </w:r>
            <w:r>
              <w:rPr>
                <w:rFonts w:ascii="IBM Plex Sans" w:hAnsi="IBM Plex Sans" w:cs="IBM Plex Sans"/>
                <w:color w:val="2C2C2C"/>
                <w:sz w:val="18"/>
                <w:szCs w:val="18"/>
              </w:rPr>
              <w:t xml:space="preserve"> que representará a la sociedad.</w:t>
            </w:r>
          </w:p>
        </w:tc>
      </w:tr>
    </w:tbl>
    <w:p>
      <w:pPr>
        <w:spacing w:before="0" w:after="260" w:line="20" w:lineRule="exact"/>
      </w:pPr>
    </w:p>
    <w:p>
      <w:pPr>
        <w:keepNext/>
        <w:keepLines/>
        <w:spacing w:before="0" w:after="140" w:line="276" w:lineRule="auto"/>
      </w:pPr>
      <w:r>
        <w:rPr>
          <w:rFonts w:ascii="IBM Plex Sans" w:hAnsi="IBM Plex Sans" w:cs="IBM Plex Sans"/>
          <w:b/>
          <w:color w:val="0C2649"/>
          <w:sz w:val="22"/>
          <w:szCs w:val="22"/>
        </w:rPr>
        <w:t xml:space="preserve">Paso a paso</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1</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color w:val="2C2C2C"/>
                <w:sz w:val="19"/>
                <w:szCs w:val="19"/>
              </w:rPr>
              <w:t xml:space="preserve">Ingresa a </w:t>
            </w:r>
            <w:r>
              <w:rPr>
                <w:rFonts w:ascii="IBM Plex Sans" w:hAnsi="IBM Plex Sans" w:cs="IBM Plex Sans"/>
                <w:b/>
                <w:color w:val="0C2649"/>
                <w:sz w:val="19"/>
                <w:szCs w:val="19"/>
              </w:rPr>
              <w:t xml:space="preserve">registrodeempresasysociedades.cl</w:t>
            </w:r>
            <w:r>
              <w:rPr>
                <w:rFonts w:ascii="IBM Plex Sans" w:hAnsi="IBM Plex Sans" w:cs="IBM Plex Sans"/>
                <w:color w:val="2C2C2C"/>
                <w:sz w:val="19"/>
                <w:szCs w:val="19"/>
              </w:rPr>
              <w:t xml:space="preserve"> con Clave Única.</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2</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color w:val="2C2C2C"/>
                <w:sz w:val="19"/>
                <w:szCs w:val="19"/>
              </w:rPr>
              <w:t xml:space="preserve">Ve a </w:t>
            </w:r>
            <w:r>
              <w:rPr>
                <w:rFonts w:ascii="IBM Plex Sans" w:hAnsi="IBM Plex Sans" w:cs="IBM Plex Sans"/>
                <w:b/>
                <w:color w:val="0C2649"/>
                <w:sz w:val="19"/>
                <w:szCs w:val="19"/>
              </w:rPr>
              <w:t xml:space="preserve">“Primer paso” → “Registro de Poderes”</w:t>
            </w:r>
            <w:r>
              <w:rPr>
                <w:rFonts w:ascii="IBM Plex Sans" w:hAnsi="IBM Plex Sans" w:cs="IBM Plex Sans"/>
                <w:color w:val="2C2C2C"/>
                <w:sz w:val="19"/>
                <w:szCs w:val="19"/>
              </w:rPr>
              <w:t xml:space="preserve">.</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3</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color w:val="2C2C2C"/>
                <w:sz w:val="19"/>
                <w:szCs w:val="19"/>
              </w:rPr>
              <w:t xml:space="preserve">Elige la actuación: </w:t>
            </w:r>
            <w:r>
              <w:rPr>
                <w:rFonts w:ascii="IBM Plex Sans" w:hAnsi="IBM Plex Sans" w:cs="IBM Plex Sans"/>
                <w:b/>
                <w:color w:val="0C2649"/>
                <w:sz w:val="19"/>
                <w:szCs w:val="19"/>
              </w:rPr>
              <w:t xml:space="preserve">otorgamiento de poder</w:t>
            </w:r>
            <w:r>
              <w:rPr>
                <w:rFonts w:ascii="IBM Plex Sans" w:hAnsi="IBM Plex Sans" w:cs="IBM Plex Sans"/>
                <w:color w:val="2C2C2C"/>
                <w:sz w:val="19"/>
                <w:szCs w:val="19"/>
              </w:rPr>
              <w:t xml:space="preserve"> (o </w:t>
            </w:r>
            <w:r>
              <w:rPr>
                <w:rFonts w:ascii="IBM Plex Sans" w:hAnsi="IBM Plex Sans" w:cs="IBM Plex Sans"/>
                <w:b/>
                <w:color w:val="0C2649"/>
                <w:sz w:val="19"/>
                <w:szCs w:val="19"/>
              </w:rPr>
              <w:t xml:space="preserve">confirmación del administrador provisorio</w:t>
            </w:r>
            <w:r>
              <w:rPr>
                <w:rFonts w:ascii="IBM Plex Sans" w:hAnsi="IBM Plex Sans" w:cs="IBM Plex Sans"/>
                <w:color w:val="2C2C2C"/>
                <w:sz w:val="19"/>
                <w:szCs w:val="19"/>
              </w:rPr>
              <w:t xml:space="preserve">, si aplica). Digita el </w:t>
            </w:r>
            <w:r>
              <w:rPr>
                <w:rFonts w:ascii="IBM Plex Sans" w:hAnsi="IBM Plex Sans" w:cs="IBM Plex Sans"/>
                <w:b/>
                <w:color w:val="0C2649"/>
                <w:sz w:val="19"/>
                <w:szCs w:val="19"/>
              </w:rPr>
              <w:t xml:space="preserve">RUT de la sociedad</w:t>
            </w:r>
            <w:r>
              <w:rPr>
                <w:rFonts w:ascii="IBM Plex Sans" w:hAnsi="IBM Plex Sans" w:cs="IBM Plex Sans"/>
                <w:color w:val="2C2C2C"/>
                <w:sz w:val="19"/>
                <w:szCs w:val="19"/>
              </w:rPr>
              <w:t xml:space="preserve"> y presiona comenzar.</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4</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b/>
                <w:color w:val="0C2649"/>
                <w:sz w:val="19"/>
                <w:szCs w:val="19"/>
              </w:rPr>
              <w:t xml:space="preserve">Paso 1 — datos del poder.</w:t>
            </w:r>
            <w:r>
              <w:rPr>
                <w:rFonts w:ascii="IBM Plex Sans" w:hAnsi="IBM Plex Sans" w:cs="IBM Plex Sans"/>
                <w:color w:val="2C2C2C"/>
                <w:sz w:val="19"/>
                <w:szCs w:val="19"/>
              </w:rPr>
              <w:t xml:space="preserve"> Define a quién se nombra (RUT del gerente general/administrador), el </w:t>
            </w:r>
            <w:r>
              <w:rPr>
                <w:rFonts w:ascii="IBM Plex Sans" w:hAnsi="IBM Plex Sans" w:cs="IBM Plex Sans"/>
                <w:b/>
                <w:color w:val="0C2649"/>
                <w:sz w:val="19"/>
                <w:szCs w:val="19"/>
              </w:rPr>
              <w:t xml:space="preserve">tipo de poder</w:t>
            </w:r>
            <w:r>
              <w:rPr>
                <w:rFonts w:ascii="IBM Plex Sans" w:hAnsi="IBM Plex Sans" w:cs="IBM Plex Sans"/>
                <w:color w:val="2C2C2C"/>
                <w:sz w:val="19"/>
                <w:szCs w:val="19"/>
              </w:rPr>
              <w:t xml:space="preserve"> (generalísimo, especial o judicial) y sus facultades. Puedes hacerlo de dos formas:</w:t>
            </w:r>
          </w:p>
          <w:p>
            <w:pPr>
              <w:spacing w:before="0" w:after="100" w:line="20" w:lineRule="exact"/>
            </w:pPr>
          </w:p>
          <w:tbl>
            <w:tblPr>
              <w:tblW w:w="940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40"/>
              <w:gridCol w:w="120"/>
              <w:gridCol w:w="4640"/>
            </w:tblGrid>
            <w:tr>
              <w:trPr>
                <w:cantSplit/>
              </w:trPr>
              <w:tc>
                <w:tcPr>
                  <w:tcW w:w="4640" w:type="dxa"/>
                  <w:tcBorders>
                    <w:top w:val="nil"/>
                    <w:left w:val="single" w:sz="18" w:space="0" w:color="C5E3EF"/>
                    <w:bottom w:val="nil"/>
                    <w:right w:val="nil"/>
                  </w:tcBorders>
                  <w:shd w:val="clear" w:color="auto" w:fill="F7F8FA"/>
                  <w:tcMar>
                    <w:top w:w="120" w:type="dxa"/>
                    <w:left w:w="160" w:type="dxa"/>
                    <w:bottom w:w="120" w:type="dxa"/>
                    <w:right w:w="140" w:type="dxa"/>
                  </w:tcMar>
                  <w:vAlign w:val="top"/>
                </w:tcPr>
                <w:p>
                  <w:pPr>
                    <w:keepLines/>
                    <w:spacing w:before="0" w:after="0" w:line="255" w:lineRule="auto"/>
                    <w:jc w:val="both"/>
                  </w:pPr>
                  <w:r>
                    <w:rPr>
                      <w:rFonts w:ascii="IBM Plex Sans" w:hAnsi="IBM Plex Sans" w:cs="IBM Plex Sans"/>
                      <w:b/>
                      <w:color w:val="0C2649"/>
                      <w:sz w:val="18"/>
                      <w:szCs w:val="18"/>
                    </w:rPr>
                    <w:t xml:space="preserve">Por formulario electrónico</w:t>
                  </w:r>
                  <w:r>
                    <w:rPr>
                      <w:rFonts w:ascii="IBM Plex Sans" w:hAnsi="IBM Plex Sans" w:cs="IBM Plex Sans"/>
                      <w:color w:val="2C2C2C"/>
                      <w:sz w:val="18"/>
                      <w:szCs w:val="18"/>
                    </w:rPr>
                    <w:t xml:space="preserve">, completando los campos directamente en el sistema; o</w:t>
                  </w:r>
                </w:p>
              </w:tc>
              <w:tc>
                <w:tcPr>
                  <w:tcW w:w="1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4640" w:type="dxa"/>
                  <w:tcBorders>
                    <w:top w:val="nil"/>
                    <w:left w:val="single" w:sz="18" w:space="0" w:color="C5E3EF"/>
                    <w:bottom w:val="nil"/>
                    <w:right w:val="nil"/>
                  </w:tcBorders>
                  <w:shd w:val="clear" w:color="auto" w:fill="F7F8FA"/>
                  <w:tcMar>
                    <w:top w:w="120" w:type="dxa"/>
                    <w:left w:w="160" w:type="dxa"/>
                    <w:bottom w:w="120" w:type="dxa"/>
                    <w:right w:w="140" w:type="dxa"/>
                  </w:tcMar>
                  <w:vAlign w:val="top"/>
                </w:tcPr>
                <w:p>
                  <w:pPr>
                    <w:keepLines/>
                    <w:spacing w:before="0" w:after="0" w:line="255" w:lineRule="auto"/>
                    <w:jc w:val="both"/>
                  </w:pPr>
                  <w:r>
                    <w:rPr>
                      <w:rFonts w:ascii="IBM Plex Sans" w:hAnsi="IBM Plex Sans" w:cs="IBM Plex Sans"/>
                      <w:b/>
                      <w:color w:val="0C2649"/>
                      <w:sz w:val="18"/>
                      <w:szCs w:val="18"/>
                    </w:rPr>
                    <w:t xml:space="preserve">Adjuntando documento externo</w:t>
                  </w:r>
                  <w:r>
                    <w:rPr>
                      <w:rFonts w:ascii="IBM Plex Sans" w:hAnsi="IBM Plex Sans" w:cs="IBM Plex Sans"/>
                      <w:color w:val="2C2C2C"/>
                      <w:sz w:val="18"/>
                      <w:szCs w:val="18"/>
                    </w:rPr>
                    <w:t xml:space="preserve"> (el </w:t>
                  </w:r>
                  <w:r>
                    <w:rPr>
                      <w:rFonts w:ascii="IBM Plex Sans" w:hAnsi="IBM Plex Sans" w:cs="IBM Plex Sans"/>
                      <w:b/>
                      <w:color w:val="0C2649"/>
                      <w:sz w:val="18"/>
                      <w:szCs w:val="18"/>
                    </w:rPr>
                    <w:t xml:space="preserve">acta de directorio</w:t>
                  </w:r>
                  <w:r>
                    <w:rPr>
                      <w:rFonts w:ascii="IBM Plex Sans" w:hAnsi="IBM Plex Sans" w:cs="IBM Plex Sans"/>
                      <w:color w:val="2C2C2C"/>
                      <w:sz w:val="18"/>
                      <w:szCs w:val="18"/>
                    </w:rPr>
                    <w:t xml:space="preserve"> que acuerda el nombramiento). Por esta vía, la firma la hace el gerente/administrador designado.</w:t>
                  </w:r>
                </w:p>
              </w:tc>
            </w:tr>
          </w:tbl>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5</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b/>
                <w:color w:val="0C2649"/>
                <w:sz w:val="19"/>
                <w:szCs w:val="19"/>
              </w:rPr>
              <w:t xml:space="preserve">Paso 2 — suscriptores.</w:t>
            </w:r>
            <w:r>
              <w:rPr>
                <w:rFonts w:ascii="IBM Plex Sans" w:hAnsi="IBM Plex Sans" w:cs="IBM Plex Sans"/>
                <w:color w:val="2C2C2C"/>
                <w:sz w:val="19"/>
                <w:szCs w:val="19"/>
              </w:rPr>
              <w:t xml:space="preserve"> Identifica a </w:t>
            </w:r>
            <w:r>
              <w:rPr>
                <w:rFonts w:ascii="IBM Plex Sans" w:hAnsi="IBM Plex Sans" w:cs="IBM Plex Sans"/>
                <w:b/>
                <w:color w:val="0C2649"/>
                <w:sz w:val="19"/>
                <w:szCs w:val="19"/>
              </w:rPr>
              <w:t xml:space="preserve">los directores que suscriben el otorgamiento</w:t>
            </w:r>
            <w:r>
              <w:rPr>
                <w:rFonts w:ascii="IBM Plex Sans" w:hAnsi="IBM Plex Sans" w:cs="IBM Plex Sans"/>
                <w:color w:val="2C2C2C"/>
                <w:sz w:val="19"/>
                <w:szCs w:val="19"/>
              </w:rPr>
              <w:t xml:space="preserve">, respetando el quórum de administración del directorio.</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6</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b/>
                <w:color w:val="0C2649"/>
                <w:sz w:val="19"/>
                <w:szCs w:val="19"/>
              </w:rPr>
              <w:t xml:space="preserve">Firma.</w:t>
            </w:r>
            <w:r>
              <w:rPr>
                <w:rFonts w:ascii="IBM Plex Sans" w:hAnsi="IBM Plex Sans" w:cs="IBM Plex Sans"/>
                <w:color w:val="2C2C2C"/>
                <w:sz w:val="19"/>
                <w:szCs w:val="19"/>
              </w:rPr>
              <w:t xml:space="preserve"> Los directores firman electrónicamente el formulario. Si alguno no cuenta con </w:t>
            </w:r>
            <w:r>
              <w:rPr>
                <w:rFonts w:ascii="IBM Plex Sans" w:hAnsi="IBM Plex Sans" w:cs="IBM Plex Sans"/>
                <w:b/>
                <w:color w:val="0C2649"/>
                <w:sz w:val="19"/>
                <w:szCs w:val="19"/>
              </w:rPr>
              <w:t xml:space="preserve">firma electrónica avanzada</w:t>
            </w:r>
            <w:r>
              <w:rPr>
                <w:rFonts w:ascii="IBM Plex Sans" w:hAnsi="IBM Plex Sans" w:cs="IBM Plex Sans"/>
                <w:color w:val="2C2C2C"/>
                <w:sz w:val="19"/>
                <w:szCs w:val="19"/>
              </w:rPr>
              <w:t xml:space="preserve">, puede firmar </w:t>
            </w:r>
            <w:r>
              <w:rPr>
                <w:rFonts w:ascii="IBM Plex Sans" w:hAnsi="IBM Plex Sans" w:cs="IBM Plex Sans"/>
                <w:b/>
                <w:color w:val="0C2649"/>
                <w:sz w:val="19"/>
                <w:szCs w:val="19"/>
              </w:rPr>
              <w:t xml:space="preserve">ante notario</w:t>
            </w:r>
            <w:r>
              <w:rPr>
                <w:rFonts w:ascii="IBM Plex Sans" w:hAnsi="IBM Plex Sans" w:cs="IBM Plex Sans"/>
                <w:color w:val="2C2C2C"/>
                <w:sz w:val="19"/>
                <w:szCs w:val="19"/>
              </w:rPr>
              <w:t xml:space="preserve"> llevando el </w:t>
            </w:r>
            <w:r>
              <w:rPr>
                <w:rFonts w:ascii="IBM Plex Sans" w:hAnsi="IBM Plex Sans" w:cs="IBM Plex Sans"/>
                <w:b/>
                <w:color w:val="0C2649"/>
                <w:sz w:val="19"/>
                <w:szCs w:val="19"/>
              </w:rPr>
              <w:t xml:space="preserve">“número de atención”</w:t>
            </w:r>
            <w:r>
              <w:rPr>
                <w:rFonts w:ascii="IBM Plex Sans" w:hAnsi="IBM Plex Sans" w:cs="IBM Plex Sans"/>
                <w:color w:val="2C2C2C"/>
                <w:sz w:val="19"/>
                <w:szCs w:val="19"/>
              </w:rPr>
              <w:t xml:space="preserve"> que muestra la plataforma en la esquina.</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F20530"/>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7</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color w:val="2C2C2C"/>
                <w:sz w:val="19"/>
                <w:szCs w:val="19"/>
              </w:rPr>
              <w:t xml:space="preserve">Una vez firmado por todos los suscriptores requeridos, el poder queda inscrito y puedes </w:t>
            </w:r>
            <w:r>
              <w:rPr>
                <w:rFonts w:ascii="IBM Plex Sans" w:hAnsi="IBM Plex Sans" w:cs="IBM Plex Sans"/>
                <w:b/>
                <w:color w:val="0C2649"/>
                <w:sz w:val="19"/>
                <w:szCs w:val="19"/>
              </w:rPr>
              <w:t xml:space="preserve">descargar el certificado de poderes vigentes</w:t>
            </w:r>
            <w:r>
              <w:rPr>
                <w:rFonts w:ascii="IBM Plex Sans" w:hAnsi="IBM Plex Sans" w:cs="IBM Plex Sans"/>
                <w:color w:val="2C2C2C"/>
                <w:sz w:val="19"/>
                <w:szCs w:val="19"/>
              </w:rPr>
              <w:t xml:space="preserve">.</w:t>
            </w:r>
          </w:p>
        </w:tc>
      </w:tr>
    </w:tbl>
    <w:p>
      <w:pPr>
        <w:spacing w:before="0" w:after="130" w:line="20" w:lineRule="exact"/>
      </w:pPr>
    </w:p>
    <w:p>
      <w:pPr>
        <w:spacing w:before="0" w:after="260" w:line="20" w:lineRule="exact"/>
      </w:pPr>
    </w:p>
    <w:p>
      <w:pPr>
        <w:keepNext/>
        <w:keepLines/>
        <w:spacing w:before="0" w:after="0" w:line="260" w:lineRule="auto"/>
      </w:pPr>
      <w:r>
        <w:rPr>
          <w:rFonts w:ascii="IBM Plex Serif" w:hAnsi="IBM Plex Serif" w:cs="IBM Plex Serif"/>
          <w:b/>
          <w:color w:val="F20530"/>
          <w:sz w:val="20"/>
          <w:szCs w:val="20"/>
        </w:rPr>
        <w:t xml:space="preserve">03   </w:t>
      </w:r>
      <w:r>
        <w:rPr>
          <w:rFonts w:ascii="IBM Plex Serif" w:hAnsi="IBM Plex Serif" w:cs="IBM Plex Serif"/>
          <w:b/>
          <w:color w:val="0C2649"/>
          <w:sz w:val="28"/>
          <w:szCs w:val="28"/>
        </w:rPr>
        <w:t xml:space="preserve">Etapa 2 — Apertura del Libro de Accionistas Electrónico</w:t>
      </w:r>
    </w:p>
    <w:p>
      <w:pPr>
        <w:keepNext/>
        <w:pBdr>
          <w:bottom w:val="single" w:sz="12" w:space="4" w:color="0C2649"/>
        </w:pBdr>
        <w:spacing w:before="0" w:after="20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24" w:space="0" w:color="0C2649"/>
              <w:bottom w:val="nil"/>
              <w:right w:val="nil"/>
            </w:tcBorders>
            <w:shd w:val="clear" w:color="auto" w:fill="E6EAF1"/>
            <w:tcMar>
              <w:top w:w="180" w:type="dxa"/>
              <w:left w:w="220" w:type="dxa"/>
              <w:bottom w:w="180" w:type="dxa"/>
              <w:right w:w="220" w:type="dxa"/>
            </w:tcMar>
            <w:vAlign w:val="top"/>
          </w:tcPr>
          <w:p>
            <w:pPr>
              <w:keepNext/>
              <w:keepLines/>
              <w:spacing w:before="0" w:after="80" w:line="230" w:lineRule="auto"/>
            </w:pPr>
            <w:r>
              <w:rPr>
                <w:rFonts w:ascii="IBM Plex Sans" w:hAnsi="IBM Plex Sans" w:cs="IBM Plex Sans"/>
                <w:b/>
                <w:caps/>
                <w:spacing w:val="24"/>
                <w:color w:val="0C2649"/>
                <w:sz w:val="15"/>
                <w:szCs w:val="15"/>
              </w:rPr>
              <w:t xml:space="preserve">Quién firma</w:t>
            </w:r>
          </w:p>
          <w:p>
            <w:pPr>
              <w:keepLines/>
              <w:spacing w:before="0" w:after="0" w:line="265" w:lineRule="auto"/>
              <w:jc w:val="both"/>
            </w:pPr>
            <w:r>
              <w:rPr>
                <w:rFonts w:ascii="IBM Plex Sans" w:hAnsi="IBM Plex Sans" w:cs="IBM Plex Sans"/>
                <w:color w:val="1A1A1A"/>
                <w:sz w:val="19"/>
                <w:szCs w:val="19"/>
              </w:rPr>
              <w:t xml:space="preserve">Con el gerente/administrador ya inscrito en la Etapa 1, es </w:t>
            </w:r>
            <w:r>
              <w:rPr>
                <w:rFonts w:ascii="IBM Plex Sans" w:hAnsi="IBM Plex Sans" w:cs="IBM Plex Sans"/>
                <w:b/>
                <w:color w:val="1A1A1A"/>
                <w:sz w:val="19"/>
                <w:szCs w:val="19"/>
              </w:rPr>
              <w:t xml:space="preserve">esa persona</w:t>
            </w:r>
            <w:r>
              <w:rPr>
                <w:rFonts w:ascii="IBM Plex Sans" w:hAnsi="IBM Plex Sans" w:cs="IBM Plex Sans"/>
                <w:color w:val="1A1A1A"/>
                <w:sz w:val="19"/>
                <w:szCs w:val="19"/>
              </w:rPr>
              <w:t xml:space="preserve"> quien realiza la apertura y firma con su Clave Única. La firma se hace dentro de la misma plataforma, sin necesidad de notaría. (Si la representación recayera en el directorio como cuerpo, la suscripción la harían los directores.)</w:t>
            </w:r>
          </w:p>
        </w:tc>
      </w:tr>
    </w:tbl>
    <w:p>
      <w:pPr>
        <w:spacing w:before="0" w:after="260" w:line="20" w:lineRule="exact"/>
      </w:pPr>
    </w:p>
    <w:p>
      <w:pPr>
        <w:keepNext/>
        <w:keepLines/>
        <w:spacing w:before="0" w:after="140" w:line="276" w:lineRule="auto"/>
      </w:pPr>
      <w:r>
        <w:rPr>
          <w:rFonts w:ascii="IBM Plex Sans" w:hAnsi="IBM Plex Sans" w:cs="IBM Plex Sans"/>
          <w:b/>
          <w:color w:val="0C2649"/>
          <w:sz w:val="22"/>
          <w:szCs w:val="22"/>
        </w:rPr>
        <w:t xml:space="preserve">Paso a paso</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1</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color w:val="2C2C2C"/>
                <w:sz w:val="19"/>
                <w:szCs w:val="19"/>
              </w:rPr>
              <w:t xml:space="preserve">Ingresa a </w:t>
            </w:r>
            <w:r>
              <w:rPr>
                <w:rFonts w:ascii="IBM Plex Sans" w:hAnsi="IBM Plex Sans" w:cs="IBM Plex Sans"/>
                <w:b/>
                <w:color w:val="0C2649"/>
                <w:sz w:val="19"/>
                <w:szCs w:val="19"/>
              </w:rPr>
              <w:t xml:space="preserve">registrodeempresasysociedades.cl</w:t>
            </w:r>
            <w:r>
              <w:rPr>
                <w:rFonts w:ascii="IBM Plex Sans" w:hAnsi="IBM Plex Sans" w:cs="IBM Plex Sans"/>
                <w:color w:val="2C2C2C"/>
                <w:sz w:val="19"/>
                <w:szCs w:val="19"/>
              </w:rPr>
              <w:t xml:space="preserve"> e inicia sesión (botón rojo) con la Clave Única de quien va a firmar.</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2</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color w:val="2C2C2C"/>
                <w:sz w:val="19"/>
                <w:szCs w:val="19"/>
              </w:rPr>
              <w:t xml:space="preserve">Ve a </w:t>
            </w:r>
            <w:r>
              <w:rPr>
                <w:rFonts w:ascii="IBM Plex Sans" w:hAnsi="IBM Plex Sans" w:cs="IBM Plex Sans"/>
                <w:b/>
                <w:color w:val="0C2649"/>
                <w:sz w:val="19"/>
                <w:szCs w:val="19"/>
              </w:rPr>
              <w:t xml:space="preserve">“Primer paso” → “Registro de accionistas”</w:t>
            </w:r>
            <w:r>
              <w:rPr>
                <w:rFonts w:ascii="IBM Plex Sans" w:hAnsi="IBM Plex Sans" w:cs="IBM Plex Sans"/>
                <w:color w:val="2C2C2C"/>
                <w:sz w:val="19"/>
                <w:szCs w:val="19"/>
              </w:rPr>
              <w:t xml:space="preserve"> (última opción) y entra en </w:t>
            </w:r>
            <w:r>
              <w:rPr>
                <w:rFonts w:ascii="IBM Plex Sans" w:hAnsi="IBM Plex Sans" w:cs="IBM Plex Sans"/>
                <w:b/>
                <w:color w:val="0C2649"/>
                <w:sz w:val="19"/>
                <w:szCs w:val="19"/>
              </w:rPr>
              <w:t xml:space="preserve">“Apertura de libro”</w:t>
            </w:r>
            <w:r>
              <w:rPr>
                <w:rFonts w:ascii="IBM Plex Sans" w:hAnsi="IBM Plex Sans" w:cs="IBM Plex Sans"/>
                <w:color w:val="2C2C2C"/>
                <w:sz w:val="19"/>
                <w:szCs w:val="19"/>
              </w:rPr>
              <w:t xml:space="preserve">.</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3</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color w:val="2C2C2C"/>
                <w:sz w:val="19"/>
                <w:szCs w:val="19"/>
              </w:rPr>
              <w:t xml:space="preserve">Digita el </w:t>
            </w:r>
            <w:r>
              <w:rPr>
                <w:rFonts w:ascii="IBM Plex Sans" w:hAnsi="IBM Plex Sans" w:cs="IBM Plex Sans"/>
                <w:b/>
                <w:color w:val="0C2649"/>
                <w:sz w:val="19"/>
                <w:szCs w:val="19"/>
              </w:rPr>
              <w:t xml:space="preserve">RUT de la sociedad</w:t>
            </w:r>
            <w:r>
              <w:rPr>
                <w:rFonts w:ascii="IBM Plex Sans" w:hAnsi="IBM Plex Sans" w:cs="IBM Plex Sans"/>
                <w:color w:val="2C2C2C"/>
                <w:sz w:val="19"/>
                <w:szCs w:val="19"/>
              </w:rPr>
              <w:t xml:space="preserve">, marca el captcha y presiona </w:t>
            </w:r>
            <w:r>
              <w:rPr>
                <w:rFonts w:ascii="IBM Plex Sans" w:hAnsi="IBM Plex Sans" w:cs="IBM Plex Sans"/>
                <w:b/>
                <w:color w:val="0C2649"/>
                <w:sz w:val="19"/>
                <w:szCs w:val="19"/>
              </w:rPr>
              <w:t xml:space="preserve">“Comenzar”</w:t>
            </w:r>
            <w:r>
              <w:rPr>
                <w:rFonts w:ascii="IBM Plex Sans" w:hAnsi="IBM Plex Sans" w:cs="IBM Plex Sans"/>
                <w:color w:val="2C2C2C"/>
                <w:sz w:val="19"/>
                <w:szCs w:val="19"/>
              </w:rPr>
              <w:t xml:space="preserve">.</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4</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color w:val="2C2C2C"/>
                <w:sz w:val="19"/>
                <w:szCs w:val="19"/>
              </w:rPr>
              <w:t xml:space="preserve">Revisa que los </w:t>
            </w:r>
            <w:r>
              <w:rPr>
                <w:rFonts w:ascii="IBM Plex Sans" w:hAnsi="IBM Plex Sans" w:cs="IBM Plex Sans"/>
                <w:b/>
                <w:color w:val="0C2649"/>
                <w:sz w:val="19"/>
                <w:szCs w:val="19"/>
              </w:rPr>
              <w:t xml:space="preserve">datos de la sociedad</w:t>
            </w:r>
            <w:r>
              <w:rPr>
                <w:rFonts w:ascii="IBM Plex Sans" w:hAnsi="IBM Plex Sans" w:cs="IBM Plex Sans"/>
                <w:color w:val="2C2C2C"/>
                <w:sz w:val="19"/>
                <w:szCs w:val="19"/>
              </w:rPr>
              <w:t xml:space="preserve"> que muestra el formulario estén correctos.</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5</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color w:val="2C2C2C"/>
                <w:sz w:val="19"/>
                <w:szCs w:val="19"/>
              </w:rPr>
              <w:t xml:space="preserve">Baja a la sección </w:t>
            </w:r>
            <w:r>
              <w:rPr>
                <w:rFonts w:ascii="IBM Plex Sans" w:hAnsi="IBM Plex Sans" w:cs="IBM Plex Sans"/>
                <w:b/>
                <w:color w:val="0C2649"/>
                <w:sz w:val="19"/>
                <w:szCs w:val="19"/>
              </w:rPr>
              <w:t xml:space="preserve">“Accionistas”</w:t>
            </w:r>
            <w:r>
              <w:rPr>
                <w:rFonts w:ascii="IBM Plex Sans" w:hAnsi="IBM Plex Sans" w:cs="IBM Plex Sans"/>
                <w:color w:val="2C2C2C"/>
                <w:sz w:val="19"/>
                <w:szCs w:val="19"/>
              </w:rPr>
              <w:t xml:space="preserve"> y presiona </w:t>
            </w:r>
            <w:r>
              <w:rPr>
                <w:rFonts w:ascii="IBM Plex Sans" w:hAnsi="IBM Plex Sans" w:cs="IBM Plex Sans"/>
                <w:b/>
                <w:color w:val="0C2649"/>
                <w:sz w:val="19"/>
                <w:szCs w:val="19"/>
              </w:rPr>
              <w:t xml:space="preserve">“Agregar”</w:t>
            </w:r>
            <w:r>
              <w:rPr>
                <w:rFonts w:ascii="IBM Plex Sans" w:hAnsi="IBM Plex Sans" w:cs="IBM Plex Sans"/>
                <w:color w:val="2C2C2C"/>
                <w:sz w:val="19"/>
                <w:szCs w:val="19"/>
              </w:rPr>
              <w:t xml:space="preserve">. Completa el formulario de cada accionista (RUT, número de acciones, etc.) y presiona </w:t>
            </w:r>
            <w:r>
              <w:rPr>
                <w:rFonts w:ascii="IBM Plex Sans" w:hAnsi="IBM Plex Sans" w:cs="IBM Plex Sans"/>
                <w:b/>
                <w:color w:val="0C2649"/>
                <w:sz w:val="19"/>
                <w:szCs w:val="19"/>
              </w:rPr>
              <w:t xml:space="preserve">“Guardar”</w:t>
            </w:r>
            <w:r>
              <w:rPr>
                <w:rFonts w:ascii="IBM Plex Sans" w:hAnsi="IBM Plex Sans" w:cs="IBM Plex Sans"/>
                <w:color w:val="2C2C2C"/>
                <w:sz w:val="19"/>
                <w:szCs w:val="19"/>
              </w:rPr>
              <w:t xml:space="preserve">.</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6</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b/>
                <w:color w:val="0C2649"/>
                <w:sz w:val="19"/>
                <w:szCs w:val="19"/>
              </w:rPr>
              <w:t xml:space="preserve">Repite el paso anterior por cada accionista vigente</w:t>
            </w:r>
            <w:r>
              <w:rPr>
                <w:rFonts w:ascii="IBM Plex Sans" w:hAnsi="IBM Plex Sans" w:cs="IBM Plex Sans"/>
                <w:color w:val="2C2C2C"/>
                <w:sz w:val="19"/>
                <w:szCs w:val="19"/>
              </w:rPr>
              <w:t xml:space="preserve"> a la fecha de apertura. Luego presiona </w:t>
            </w:r>
            <w:r>
              <w:rPr>
                <w:rFonts w:ascii="IBM Plex Sans" w:hAnsi="IBM Plex Sans" w:cs="IBM Plex Sans"/>
                <w:b/>
                <w:color w:val="0C2649"/>
                <w:sz w:val="19"/>
                <w:szCs w:val="19"/>
              </w:rPr>
              <w:t xml:space="preserve">“Continuar”</w:t>
            </w:r>
            <w:r>
              <w:rPr>
                <w:rFonts w:ascii="IBM Plex Sans" w:hAnsi="IBM Plex Sans" w:cs="IBM Plex Sans"/>
                <w:color w:val="2C2C2C"/>
                <w:sz w:val="19"/>
                <w:szCs w:val="19"/>
              </w:rPr>
              <w:t xml:space="preserve">.</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7</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color w:val="2C2C2C"/>
                <w:sz w:val="19"/>
                <w:szCs w:val="19"/>
              </w:rPr>
              <w:t xml:space="preserve">En el paso 2, presiona </w:t>
            </w:r>
            <w:r>
              <w:rPr>
                <w:rFonts w:ascii="IBM Plex Sans" w:hAnsi="IBM Plex Sans" w:cs="IBM Plex Sans"/>
                <w:b/>
                <w:color w:val="0C2649"/>
                <w:sz w:val="19"/>
                <w:szCs w:val="19"/>
              </w:rPr>
              <w:t xml:space="preserve">“Descargar”</w:t>
            </w:r>
            <w:r>
              <w:rPr>
                <w:rFonts w:ascii="IBM Plex Sans" w:hAnsi="IBM Plex Sans" w:cs="IBM Plex Sans"/>
                <w:color w:val="2C2C2C"/>
                <w:sz w:val="19"/>
                <w:szCs w:val="19"/>
              </w:rPr>
              <w:t xml:space="preserve"> para revisar el </w:t>
            </w:r>
            <w:r>
              <w:rPr>
                <w:rFonts w:ascii="IBM Plex Sans" w:hAnsi="IBM Plex Sans" w:cs="IBM Plex Sans"/>
                <w:b/>
                <w:color w:val="0C2649"/>
                <w:sz w:val="19"/>
                <w:szCs w:val="19"/>
              </w:rPr>
              <w:t xml:space="preserve">borrador del libro</w:t>
            </w:r>
            <w:r>
              <w:rPr>
                <w:rFonts w:ascii="IBM Plex Sans" w:hAnsi="IBM Plex Sans" w:cs="IBM Plex Sans"/>
                <w:color w:val="2C2C2C"/>
                <w:sz w:val="19"/>
                <w:szCs w:val="19"/>
              </w:rPr>
              <w:t xml:space="preserve">. Si hay errores, vuelve al paso 1 y corrige.</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0C2649"/>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8</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color w:val="2C2C2C"/>
                <w:sz w:val="19"/>
                <w:szCs w:val="19"/>
              </w:rPr>
              <w:t xml:space="preserve">Si está correcto, baja a </w:t>
            </w:r>
            <w:r>
              <w:rPr>
                <w:rFonts w:ascii="IBM Plex Sans" w:hAnsi="IBM Plex Sans" w:cs="IBM Plex Sans"/>
                <w:b/>
                <w:color w:val="0C2649"/>
                <w:sz w:val="19"/>
                <w:szCs w:val="19"/>
              </w:rPr>
              <w:t xml:space="preserve">“Suscripción de formulario” → “Autorizar” → “Aceptar”</w:t>
            </w:r>
            <w:r>
              <w:rPr>
                <w:rFonts w:ascii="IBM Plex Sans" w:hAnsi="IBM Plex Sans" w:cs="IBM Plex Sans"/>
                <w:color w:val="2C2C2C"/>
                <w:sz w:val="19"/>
                <w:szCs w:val="19"/>
              </w:rPr>
              <w:t xml:space="preserve">. Aquí firma el representante con Clave Única.</w:t>
            </w:r>
          </w:p>
        </w:tc>
      </w:tr>
    </w:tbl>
    <w:p>
      <w:pPr>
        <w:spacing w:before="0" w:after="13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60"/>
        <w:gridCol w:w="220"/>
        <w:gridCol w:w="9400"/>
      </w:tblGrid>
      <w:tr>
        <w:trPr>
          <w:cantSplit/>
        </w:trPr>
        <w:tc>
          <w:tcPr>
            <w:tcW w:w="460" w:type="dxa"/>
            <w:tcBorders>
              <w:top w:val="nil"/>
              <w:left w:val="nil"/>
              <w:bottom w:val="nil"/>
              <w:right w:val="nil"/>
            </w:tcBorders>
            <w:shd w:val="clear" w:color="auto" w:fill="F20530"/>
            <w:tcMar>
              <w:top w:w="90" w:type="dxa"/>
              <w:left w:w="0" w:type="dxa"/>
              <w:bottom w:w="90" w:type="dxa"/>
              <w:right w:w="0" w:type="dxa"/>
            </w:tcMar>
            <w:vAlign w:val="center"/>
          </w:tcPr>
          <w:p>
            <w:pPr>
              <w:keepLines/>
              <w:spacing w:before="0" w:after="0" w:line="240" w:lineRule="auto"/>
              <w:jc w:val="center"/>
            </w:pPr>
            <w:r>
              <w:rPr>
                <w:rFonts w:ascii="IBM Plex Serif" w:hAnsi="IBM Plex Serif" w:cs="IBM Plex Serif"/>
                <w:b/>
                <w:color w:val="FFFFFF"/>
                <w:sz w:val="20"/>
                <w:szCs w:val="20"/>
              </w:rPr>
              <w:t xml:space="preserve">9</w:t>
            </w:r>
          </w:p>
        </w:tc>
        <w:tc>
          <w:tcPr>
            <w:tcW w:w="2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9400" w:type="dxa"/>
            <w:tcBorders>
              <w:top w:val="nil"/>
              <w:left w:val="nil"/>
              <w:bottom w:val="nil"/>
              <w:right w:val="nil"/>
            </w:tcBorders>
            <w:tcMar>
              <w:top w:w="60" w:type="dxa"/>
              <w:left w:w="0" w:type="dxa"/>
              <w:bottom w:w="0" w:type="dxa"/>
              <w:right w:w="0" w:type="dxa"/>
            </w:tcMar>
            <w:vAlign w:val="top"/>
          </w:tcPr>
          <w:p>
            <w:pPr>
              <w:keepLines/>
              <w:spacing w:before="0" w:after="0" w:line="262" w:lineRule="auto"/>
              <w:jc w:val="both"/>
            </w:pPr>
            <w:r>
              <w:rPr>
                <w:rFonts w:ascii="IBM Plex Sans" w:hAnsi="IBM Plex Sans" w:cs="IBM Plex Sans"/>
                <w:color w:val="2C2C2C"/>
                <w:sz w:val="19"/>
                <w:szCs w:val="19"/>
              </w:rPr>
              <w:t xml:space="preserve">Cuando aparezca </w:t>
            </w:r>
            <w:r>
              <w:rPr>
                <w:rFonts w:ascii="IBM Plex Sans" w:hAnsi="IBM Plex Sans" w:cs="IBM Plex Sans"/>
                <w:b/>
                <w:color w:val="0C2649"/>
                <w:sz w:val="19"/>
                <w:szCs w:val="19"/>
              </w:rPr>
              <w:t xml:space="preserve">“Proceso finalizado”</w:t>
            </w:r>
            <w:r>
              <w:rPr>
                <w:rFonts w:ascii="IBM Plex Sans" w:hAnsi="IBM Plex Sans" w:cs="IBM Plex Sans"/>
                <w:color w:val="2C2C2C"/>
                <w:sz w:val="19"/>
                <w:szCs w:val="19"/>
              </w:rPr>
              <w:t xml:space="preserve">, la apertura está completa.</w:t>
            </w:r>
          </w:p>
        </w:tc>
      </w:tr>
    </w:tbl>
    <w:p>
      <w:pPr>
        <w:spacing w:before="0" w:after="130" w:line="20" w:lineRule="exact"/>
      </w:pPr>
    </w:p>
    <w:p>
      <w:pPr>
        <w:spacing w:before="0" w:after="260" w:line="20" w:lineRule="exact"/>
      </w:pPr>
    </w:p>
    <w:p>
      <w:pPr>
        <w:keepNext/>
        <w:keepLines/>
        <w:spacing w:before="0" w:after="0" w:line="260" w:lineRule="auto"/>
      </w:pPr>
      <w:r>
        <w:rPr>
          <w:rFonts w:ascii="IBM Plex Serif" w:hAnsi="IBM Plex Serif" w:cs="IBM Plex Serif"/>
          <w:b/>
          <w:color w:val="F20530"/>
          <w:sz w:val="20"/>
          <w:szCs w:val="20"/>
        </w:rPr>
        <w:t xml:space="preserve">04   </w:t>
      </w:r>
      <w:r>
        <w:rPr>
          <w:rFonts w:ascii="IBM Plex Serif" w:hAnsi="IBM Plex Serif" w:cs="IBM Plex Serif"/>
          <w:b/>
          <w:color w:val="0C2649"/>
          <w:sz w:val="28"/>
          <w:szCs w:val="28"/>
        </w:rPr>
        <w:t xml:space="preserve">Puntos críticos</w:t>
      </w:r>
    </w:p>
    <w:p>
      <w:pPr>
        <w:keepNext/>
        <w:pBdr>
          <w:bottom w:val="single" w:sz="12" w:space="4" w:color="0C2649"/>
        </w:pBdr>
        <w:spacing w:before="0" w:after="20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nil"/>
              <w:bottom w:val="nil"/>
              <w:right w:val="nil"/>
            </w:tcBorders>
            <w:shd w:val="clear" w:color="auto" w:fill="F20530"/>
            <w:tcMar>
              <w:top w:w="180" w:type="dxa"/>
              <w:left w:w="220" w:type="dxa"/>
              <w:bottom w:w="180" w:type="dxa"/>
              <w:right w:w="220" w:type="dxa"/>
            </w:tcMar>
            <w:vAlign w:val="top"/>
          </w:tcPr>
          <w:p>
            <w:pPr>
              <w:keepNext/>
              <w:keepLines/>
              <w:spacing w:before="0" w:after="60" w:line="276" w:lineRule="auto"/>
            </w:pPr>
            <w:r>
              <w:rPr>
                <w:rFonts w:ascii="IBM Plex Sans" w:hAnsi="IBM Plex Sans" w:cs="IBM Plex Sans"/>
                <w:b/>
                <w:color w:val="FFFFFF"/>
                <w:sz w:val="20"/>
                <w:szCs w:val="20"/>
              </w:rPr>
              <w:t xml:space="preserve">La firma de los directores es el cuello de botella</w:t>
            </w:r>
          </w:p>
          <w:p>
            <w:pPr>
              <w:keepLines/>
              <w:spacing w:before="0" w:after="0" w:line="262" w:lineRule="auto"/>
              <w:jc w:val="both"/>
            </w:pPr>
            <w:r>
              <w:rPr>
                <w:rFonts w:ascii="IBM Plex Sans" w:hAnsi="IBM Plex Sans" w:cs="IBM Plex Sans"/>
                <w:color w:val="FFFFFF"/>
                <w:sz w:val="19"/>
                <w:szCs w:val="19"/>
              </w:rPr>
              <w:t xml:space="preserve">En la Etapa 1, el formulario no cierra hasta que </w:t>
            </w:r>
            <w:r>
              <w:rPr>
                <w:rFonts w:ascii="IBM Plex Sans" w:hAnsi="IBM Plex Sans" w:cs="IBM Plex Sans"/>
                <w:b/>
                <w:color w:val="FFFFFF"/>
                <w:sz w:val="19"/>
                <w:szCs w:val="19"/>
              </w:rPr>
              <w:t xml:space="preserve">todos los suscriptores requeridos</w:t>
            </w:r>
            <w:r>
              <w:rPr>
                <w:rFonts w:ascii="IBM Plex Sans" w:hAnsi="IBM Plex Sans" w:cs="IBM Plex Sans"/>
                <w:color w:val="FFFFFF"/>
                <w:sz w:val="19"/>
                <w:szCs w:val="19"/>
              </w:rPr>
              <w:t xml:space="preserve"> hayan firmado. Conviene confirmar de antemano si cada director tiene firma electrónica avanzada operativa o si irá a notaría.</w:t>
            </w:r>
          </w:p>
        </w:tc>
      </w:tr>
    </w:tbl>
    <w:p>
      <w:pPr>
        <w:spacing w:before="0" w:after="12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single" w:sz="18" w:space="0" w:color="0C2649"/>
              <w:bottom w:val="nil"/>
              <w:right w:val="nil"/>
            </w:tcBorders>
            <w:shd w:val="clear" w:color="auto" w:fill="F7F8FA"/>
            <w:tcMar>
              <w:top w:w="180" w:type="dxa"/>
              <w:left w:w="220" w:type="dxa"/>
              <w:bottom w:w="180" w:type="dxa"/>
              <w:right w:w="220" w:type="dxa"/>
            </w:tcMar>
            <w:vAlign w:val="top"/>
          </w:tcPr>
          <w:p>
            <w:pPr>
              <w:keepNext/>
              <w:keepLines/>
              <w:spacing w:before="0" w:after="60" w:line="276" w:lineRule="auto"/>
            </w:pPr>
            <w:r>
              <w:rPr>
                <w:rFonts w:ascii="IBM Plex Sans" w:hAnsi="IBM Plex Sans" w:cs="IBM Plex Sans"/>
                <w:b/>
                <w:color w:val="0C2649"/>
                <w:sz w:val="20"/>
                <w:szCs w:val="20"/>
              </w:rPr>
              <w:t xml:space="preserve">Ingresa a todos los accionistas vigentes</w:t>
            </w:r>
          </w:p>
          <w:p>
            <w:pPr>
              <w:keepLines/>
              <w:spacing w:before="0" w:after="0" w:line="262" w:lineRule="auto"/>
              <w:jc w:val="both"/>
            </w:pPr>
            <w:r>
              <w:rPr>
                <w:rFonts w:ascii="IBM Plex Sans" w:hAnsi="IBM Plex Sans" w:cs="IBM Plex Sans"/>
                <w:color w:val="2C2C2C"/>
                <w:sz w:val="19"/>
                <w:szCs w:val="19"/>
              </w:rPr>
              <w:t xml:space="preserve">El historial parte desde la apertura para que exista trazabilidad; cada anotación debe tener su respaldo (contratos de compraventa, escrituras, actas).</w:t>
            </w:r>
          </w:p>
        </w:tc>
      </w:tr>
    </w:tbl>
    <w:p>
      <w:pPr>
        <w:spacing w:before="0" w:after="12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10080"/>
      </w:tblGrid>
      <w:tr>
        <w:trPr>
          <w:cantSplit/>
        </w:trPr>
        <w:tc>
          <w:tcPr>
            <w:tcW w:w="10080" w:type="dxa"/>
            <w:tcBorders>
              <w:top w:val="nil"/>
              <w:left w:val="nil"/>
              <w:bottom w:val="nil"/>
              <w:right w:val="nil"/>
            </w:tcBorders>
            <w:shd w:val="clear" w:color="auto" w:fill="0C2649"/>
            <w:tcMar>
              <w:top w:w="180" w:type="dxa"/>
              <w:left w:w="220" w:type="dxa"/>
              <w:bottom w:w="180" w:type="dxa"/>
              <w:right w:w="220" w:type="dxa"/>
            </w:tcMar>
            <w:vAlign w:val="top"/>
          </w:tcPr>
          <w:p>
            <w:pPr>
              <w:keepNext/>
              <w:keepLines/>
              <w:spacing w:before="0" w:after="60" w:line="276" w:lineRule="auto"/>
            </w:pPr>
            <w:r>
              <w:rPr>
                <w:rFonts w:ascii="IBM Plex Sans" w:hAnsi="IBM Plex Sans" w:cs="IBM Plex Sans"/>
                <w:b/>
                <w:color w:val="FFFFFF"/>
                <w:sz w:val="20"/>
                <w:szCs w:val="20"/>
              </w:rPr>
              <w:t xml:space="preserve">Trámite obligatorio y bloqueante</w:t>
            </w:r>
          </w:p>
          <w:p>
            <w:pPr>
              <w:keepLines/>
              <w:spacing w:before="0" w:after="0" w:line="262" w:lineRule="auto"/>
              <w:jc w:val="both"/>
            </w:pPr>
            <w:r>
              <w:rPr>
                <w:rFonts w:ascii="IBM Plex Sans" w:hAnsi="IBM Plex Sans" w:cs="IBM Plex Sans"/>
                <w:color w:val="C5E3EF"/>
                <w:sz w:val="19"/>
                <w:szCs w:val="19"/>
              </w:rPr>
              <w:t xml:space="preserve">Sin el libro abierto, el sistema no permite ninguna modificación de la sociedad. Es requisito para avanzar en cualquier gestión posterior.</w:t>
            </w:r>
          </w:p>
        </w:tc>
      </w:tr>
    </w:tbl>
    <w:p>
      <w:pPr>
        <w:spacing w:before="0" w:after="400" w:line="20" w:lineRule="exact"/>
      </w:pPr>
    </w:p>
    <w:p>
      <w:pPr>
        <w:keepNext/>
        <w:keepLines/>
        <w:spacing w:before="0" w:after="0" w:line="260" w:lineRule="auto"/>
      </w:pPr>
      <w:r>
        <w:rPr>
          <w:rFonts w:ascii="IBM Plex Serif" w:hAnsi="IBM Plex Serif" w:cs="IBM Plex Serif"/>
          <w:b/>
          <w:color w:val="F20530"/>
          <w:sz w:val="20"/>
          <w:szCs w:val="20"/>
        </w:rPr>
        <w:t xml:space="preserve">05   </w:t>
      </w:r>
      <w:r>
        <w:rPr>
          <w:rFonts w:ascii="IBM Plex Serif" w:hAnsi="IBM Plex Serif" w:cs="IBM Plex Serif"/>
          <w:b/>
          <w:color w:val="0C2649"/>
          <w:sz w:val="28"/>
          <w:szCs w:val="28"/>
        </w:rPr>
        <w:t xml:space="preserve">Después de la apertura</w:t>
      </w:r>
    </w:p>
    <w:p>
      <w:pPr>
        <w:keepNext/>
        <w:pBdr>
          <w:bottom w:val="single" w:sz="12" w:space="4" w:color="0C2649"/>
        </w:pBdr>
        <w:spacing w:before="0" w:after="200" w:line="20" w:lineRule="exact"/>
      </w:pP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980"/>
        <w:gridCol w:w="120"/>
        <w:gridCol w:w="4980"/>
      </w:tblGrid>
      <w:tr>
        <w:trPr>
          <w:cantSplit/>
        </w:trPr>
        <w:tc>
          <w:tcPr>
            <w:tcW w:w="4980" w:type="dxa"/>
            <w:tcBorders>
              <w:top w:val="nil"/>
              <w:left w:val="single" w:sz="18" w:space="0" w:color="0C2649"/>
              <w:bottom w:val="nil"/>
              <w:right w:val="nil"/>
            </w:tcBorders>
            <w:shd w:val="clear" w:color="auto" w:fill="E6EAF1"/>
            <w:tcMar>
              <w:top w:w="170" w:type="dxa"/>
              <w:left w:w="200" w:type="dxa"/>
              <w:bottom w:w="170" w:type="dxa"/>
              <w:right w:w="180" w:type="dxa"/>
            </w:tcMar>
            <w:vAlign w:val="top"/>
          </w:tcPr>
          <w:p>
            <w:pPr>
              <w:keepNext/>
              <w:keepLines/>
              <w:spacing w:before="0" w:after="80" w:line="250" w:lineRule="auto"/>
            </w:pPr>
            <w:r>
              <w:rPr>
                <w:rFonts w:ascii="IBM Plex Sans" w:hAnsi="IBM Plex Sans" w:cs="IBM Plex Sans"/>
                <w:b/>
                <w:color w:val="0C2649"/>
                <w:sz w:val="20"/>
                <w:szCs w:val="20"/>
              </w:rPr>
              <w:t xml:space="preserve">Descarga de certificados</w:t>
            </w:r>
          </w:p>
          <w:p>
            <w:pPr>
              <w:keepLines/>
              <w:spacing w:before="0" w:after="0" w:line="258" w:lineRule="auto"/>
              <w:jc w:val="both"/>
            </w:pPr>
            <w:r>
              <w:rPr>
                <w:rFonts w:ascii="IBM Plex Sans" w:hAnsi="IBM Plex Sans" w:cs="IBM Plex Sans"/>
                <w:color w:val="2C2C2C"/>
                <w:sz w:val="18"/>
                <w:szCs w:val="18"/>
              </w:rPr>
              <w:t xml:space="preserve">Ingresa nuevamente al portal y en </w:t>
            </w:r>
            <w:r>
              <w:rPr>
                <w:rFonts w:ascii="IBM Plex Sans" w:hAnsi="IBM Plex Sans" w:cs="IBM Plex Sans"/>
                <w:b/>
                <w:color w:val="0C2649"/>
                <w:sz w:val="18"/>
                <w:szCs w:val="18"/>
              </w:rPr>
              <w:t xml:space="preserve">“Obtener certificados”</w:t>
            </w:r>
            <w:r>
              <w:rPr>
                <w:rFonts w:ascii="IBM Plex Sans" w:hAnsi="IBM Plex Sans" w:cs="IBM Plex Sans"/>
                <w:color w:val="2C2C2C"/>
                <w:sz w:val="18"/>
                <w:szCs w:val="18"/>
              </w:rPr>
              <w:t xml:space="preserve"> puedes descargar el libro y los certificados de vigencia de accionistas.</w:t>
            </w:r>
          </w:p>
        </w:tc>
        <w:tc>
          <w:tcPr>
            <w:tcW w:w="120" w:type="dxa"/>
            <w:tcBorders>
              <w:top w:val="nil"/>
              <w:left w:val="nil"/>
              <w:bottom w:val="nil"/>
              <w:right w:val="nil"/>
            </w:tcBorders>
            <w:tcMar>
              <w:top w:w="0" w:type="dxa"/>
              <w:left w:w="0" w:type="dxa"/>
              <w:bottom w:w="0" w:type="dxa"/>
              <w:right w:w="0" w:type="dxa"/>
            </w:tcMar>
            <w:vAlign w:val="top"/>
          </w:tcPr>
          <w:p>
            <w:pPr>
              <w:spacing w:before="0" w:after="0" w:line="20" w:lineRule="exact"/>
            </w:pPr>
          </w:p>
        </w:tc>
        <w:tc>
          <w:tcPr>
            <w:tcW w:w="4980" w:type="dxa"/>
            <w:tcBorders>
              <w:top w:val="nil"/>
              <w:left w:val="single" w:sz="18" w:space="0" w:color="F20530"/>
              <w:bottom w:val="nil"/>
              <w:right w:val="nil"/>
            </w:tcBorders>
            <w:shd w:val="clear" w:color="auto" w:fill="E6EAF1"/>
            <w:tcMar>
              <w:top w:w="170" w:type="dxa"/>
              <w:left w:w="200" w:type="dxa"/>
              <w:bottom w:w="170" w:type="dxa"/>
              <w:right w:w="180" w:type="dxa"/>
            </w:tcMar>
            <w:vAlign w:val="top"/>
          </w:tcPr>
          <w:p>
            <w:pPr>
              <w:keepNext/>
              <w:keepLines/>
              <w:spacing w:before="0" w:after="80" w:line="250" w:lineRule="auto"/>
            </w:pPr>
            <w:r>
              <w:rPr>
                <w:rFonts w:ascii="IBM Plex Sans" w:hAnsi="IBM Plex Sans" w:cs="IBM Plex Sans"/>
                <w:b/>
                <w:color w:val="0C2649"/>
                <w:sz w:val="20"/>
                <w:szCs w:val="20"/>
              </w:rPr>
              <w:t xml:space="preserve">Modificaciones posteriores</w:t>
            </w:r>
          </w:p>
          <w:p>
            <w:pPr>
              <w:keepLines/>
              <w:spacing w:before="0" w:after="0" w:line="258" w:lineRule="auto"/>
              <w:jc w:val="both"/>
            </w:pPr>
            <w:r>
              <w:rPr>
                <w:rFonts w:ascii="IBM Plex Sans" w:hAnsi="IBM Plex Sans" w:cs="IBM Plex Sans"/>
                <w:color w:val="2C2C2C"/>
                <w:sz w:val="18"/>
                <w:szCs w:val="18"/>
              </w:rPr>
              <w:t xml:space="preserve">Ante compraventas de acciones, emisión de nuevas acciones o disminución de capital, hay que </w:t>
            </w:r>
            <w:r>
              <w:rPr>
                <w:rFonts w:ascii="IBM Plex Sans" w:hAnsi="IBM Plex Sans" w:cs="IBM Plex Sans"/>
                <w:b/>
                <w:color w:val="0C2649"/>
                <w:sz w:val="18"/>
                <w:szCs w:val="18"/>
              </w:rPr>
              <w:t xml:space="preserve">modificar este registro por el mismo procedimiento</w:t>
            </w:r>
            <w:r>
              <w:rPr>
                <w:rFonts w:ascii="IBM Plex Sans" w:hAnsi="IBM Plex Sans" w:cs="IBM Plex Sans"/>
                <w:color w:val="2C2C2C"/>
                <w:sz w:val="18"/>
                <w:szCs w:val="18"/>
              </w:rPr>
              <w:t xml:space="preserve">. En una compraventa dentro del sistema, el formulario lo firman comprador y vendedor con firma electrónica avanzada, y el administrador o gerente confirma la actuación para que quede registrada.</w:t>
            </w:r>
          </w:p>
        </w:tc>
      </w:tr>
    </w:tbl>
    <w:p>
      <w:pPr>
        <w:spacing w:before="0" w:after="360" w:line="20" w:lineRule="exact"/>
      </w:pPr>
    </w:p>
    <w:p>
      <w:pPr>
        <w:keepNext/>
        <w:keepLines/>
        <w:spacing w:before="0" w:after="300" w:line="276" w:lineRule="auto"/>
        <w:jc w:val="both"/>
      </w:pPr>
      <w:r>
        <w:rPr>
          <w:rFonts w:ascii="IBM Plex Sans" w:hAnsi="IBM Plex Sans" w:cs="IBM Plex Sans"/>
          <w:b/>
          <w:color w:val="0C2649"/>
          <w:sz w:val="16"/>
          <w:szCs w:val="16"/>
        </w:rPr>
        <w:t xml:space="preserve">Fuentes: </w:t>
      </w:r>
      <w:r>
        <w:rPr>
          <w:rFonts w:ascii="IBM Plex Sans" w:hAnsi="IBM Plex Sans" w:cs="IBM Plex Sans"/>
          <w:color w:val="6B7280"/>
          <w:sz w:val="16"/>
          <w:szCs w:val="16"/>
        </w:rPr>
        <w:t xml:space="preserve">Registro de Empresas y Sociedades (Ayuda / Registro de Poderes y FAQ), registrodeempresasysociedades.cl. Guías prácticas: Círculo Verde y DeNegocios.cl. Base legal: Ley 20.659 y Ley 21.366.</w:t>
      </w:r>
    </w:p>
    <w:tbl>
      <w:tblPr>
        <w:tblW w:w="10080" w:type="dxa"/>
        <w:tblInd w:w="0" w:type="dxa"/>
        <w:tblLayout w:type="fixed"/>
        <w:tblBorders>
          <w:top w:val="nil"/>
          <w:left w:val="nil"/>
          <w:bottom w:val="nil"/>
          <w:right w:val="nil"/>
          <w:insideH w:val="nil"/>
          <w:insideV w:val="nil"/>
        </w:tblBorders>
        <w:tblCellMar>
          <w:top w:w="0" w:type="dxa"/>
          <w:left w:w="0" w:type="dxa"/>
          <w:bottom w:w="0" w:type="dxa"/>
          <w:right w:w="0" w:type="dxa"/>
        </w:tblCellMar>
        <w:tblLook w:val="0000" w:noHBand="1" w:noVBand="1"/>
      </w:tblPr>
      <w:tblGrid>
        <w:gridCol w:w="4000"/>
        <w:gridCol w:w="6080"/>
      </w:tblGrid>
      <w:tr>
        <w:trPr>
          <w:cantSplit/>
        </w:trPr>
        <w:tc>
          <w:tcPr>
            <w:tcW w:w="4000" w:type="dxa"/>
            <w:tcBorders>
              <w:top w:val="single" w:sz="24" w:space="0" w:color="F20530"/>
              <w:left w:val="nil"/>
              <w:bottom w:val="nil"/>
              <w:right w:val="nil"/>
            </w:tcBorders>
            <w:tcMar>
              <w:top w:w="190" w:type="dxa"/>
              <w:left w:w="0" w:type="dxa"/>
              <w:bottom w:w="0" w:type="dxa"/>
              <w:right w:w="0" w:type="dxa"/>
            </w:tcMar>
            <w:vAlign w:val="top"/>
          </w:tcPr>
          <w:p>
            <w:pPr>
              <w:keepLines/>
              <w:spacing w:before="0" w:after="0" w:line="276" w:lineRule="auto"/>
            </w:pPr>
            <w:r>
              <w:drawing>
                <wp:inline distT="0" distB="0" distL="0" distR="0">
                  <wp:extent cx="742950" cy="200978"/>
                  <wp:effectExtent l="0" t="0" r="0" b="0"/>
                  <wp:docPr id="102" name="Auditable"/>
                  <wp:cNvGraphicFramePr>
                    <a:graphicFrameLocks noChangeAspect="1"/>
                  </wp:cNvGraphicFramePr>
                  <a:graphic>
                    <a:graphicData uri="http://schemas.openxmlformats.org/drawingml/2006/picture">
                      <pic:pic>
                        <pic:nvPicPr>
                          <pic:cNvPr id="102" name="Auditable"/>
                          <pic:cNvPicPr/>
                        </pic:nvPicPr>
                        <pic:blipFill>
                          <a:blip r:embed="rId11"/>
                          <a:stretch>
                            <a:fillRect/>
                          </a:stretch>
                        </pic:blipFill>
                        <pic:spPr>
                          <a:xfrm>
                            <a:off x="0" y="0"/>
                            <a:ext cx="742950" cy="200978"/>
                          </a:xfrm>
                          <a:prstGeom prst="rect">
                            <a:avLst/>
                          </a:prstGeom>
                        </pic:spPr>
                      </pic:pic>
                    </a:graphicData>
                  </a:graphic>
                </wp:inline>
              </w:drawing>
            </w:r>
          </w:p>
        </w:tc>
        <w:tc>
          <w:tcPr>
            <w:tcW w:w="6080" w:type="dxa"/>
            <w:tcBorders>
              <w:top w:val="single" w:sz="24" w:space="0" w:color="F20530"/>
              <w:left w:val="nil"/>
              <w:bottom w:val="nil"/>
              <w:right w:val="nil"/>
            </w:tcBorders>
            <w:tcMar>
              <w:top w:w="220" w:type="dxa"/>
              <w:left w:w="0" w:type="dxa"/>
              <w:bottom w:w="0" w:type="dxa"/>
              <w:right w:w="0" w:type="dxa"/>
            </w:tcMar>
            <w:vAlign w:val="bottom"/>
          </w:tcPr>
          <w:p>
            <w:pPr>
              <w:keepLines/>
              <w:spacing w:before="0" w:after="30" w:line="240" w:lineRule="auto"/>
              <w:jc w:val="right"/>
            </w:pPr>
            <w:r>
              <w:rPr>
                <w:rFonts w:ascii="IBM Plex Sans" w:hAnsi="IBM Plex Sans" w:cs="IBM Plex Sans"/>
                <w:color w:val="6B7280"/>
                <w:sz w:val="16"/>
                <w:szCs w:val="16"/>
              </w:rPr>
              <w:t xml:space="preserve">Auditable Soluciones Empresariales</w:t>
            </w:r>
          </w:p>
          <w:p>
            <w:pPr>
              <w:keepLines/>
              <w:spacing w:before="0" w:after="0" w:line="240" w:lineRule="auto"/>
              <w:jc w:val="right"/>
            </w:pPr>
            <w:r>
              <w:rPr>
                <w:rFonts w:ascii="IBM Plex Sans" w:hAnsi="IBM Plex Sans" w:cs="IBM Plex Sans"/>
                <w:color w:val="6B7280"/>
                <w:sz w:val="16"/>
                <w:szCs w:val="16"/>
              </w:rPr>
              <w:t xml:space="preserve">Asesoría Tributaria, Contable y Laboral</w:t>
            </w:r>
          </w:p>
        </w:tc>
      </w:tr>
    </w:tbl>
    <w:sectPr>
      <w:footerReference w:type="default" r:id="rId20"/>
      <w:pgSz w:w="12240" w:h="15840" w:orient="portrait"/>
      <w:pgMar w:top="1080" w:right="1080" w:bottom="1080" w:left="1080" w:header="600" w:footer="500" w:gutter="0"/>
      <w:cols w:space="708"/>
      <w:docGrid w:linePitch="360"/>
    </w:sectPr>
  </w:body>
</w:document>
</file>

<file path=word/footer1.xml><?xml version="1.0" encoding="utf-8"?>
<w:ftr xmlns:w="http://schemas.openxmlformats.org/wordprocessingml/2006/main">
  <w:tbl>
    <w:tblPr>
      <w:tblW w:w="10080" w:type="dxa"/>
      <w:tblLayout w:type="fixed"/>
      <w:tblBorders>
        <w:top w:val="single" w:sz="8" w:space="0" w:color="E6EAF1"/>
        <w:left w:val="nil"/>
        <w:bottom w:val="nil"/>
        <w:right w:val="nil"/>
        <w:insideH w:val="nil"/>
        <w:insideV w:val="nil"/>
      </w:tblBorders>
      <w:tblCellMar>
        <w:left w:w="0" w:type="dxa"/>
        <w:right w:w="0" w:type="dxa"/>
      </w:tblCellMar>
    </w:tblPr>
    <w:tblGrid>
      <w:gridCol w:w="8080"/>
      <w:gridCol w:w="2000"/>
    </w:tblGrid>
    <w:tr>
      <w:tc>
        <w:tcPr>
          <w:tcW w:w="8080" w:type="dxa"/>
          <w:tcMar>
            <w:top w:w="100" w:type="dxa"/>
          </w:tcMar>
        </w:tcPr>
        <w:p>
          <w:pPr>
            <w:keepLines/>
            <w:spacing w:before="0" w:after="0" w:line="220" w:lineRule="auto"/>
          </w:pPr>
          <w:r>
            <w:rPr>
              <w:rFonts w:ascii="IBM Plex Sans" w:hAnsi="IBM Plex Sans" w:cs="IBM Plex Sans"/>
              <w:color w:val="6B7280"/>
              <w:sz w:val="15"/>
              <w:szCs w:val="15"/>
            </w:rPr>
            <w:t xml:space="preserve">Apertura del Libro de Accionistas Electrónico · SpA con Directorio · RES</w:t>
          </w:r>
        </w:p>
      </w:tc>
      <w:tc>
        <w:tcPr>
          <w:tcW w:w="2000" w:type="dxa"/>
          <w:tcMar>
            <w:top w:w="100" w:type="dxa"/>
          </w:tcMar>
        </w:tcPr>
        <w:p>
          <w:pPr>
            <w:spacing w:after="0" w:line="220" w:lineRule="auto"/>
            <w:jc w:val="right"/>
          </w:pPr>
          <w:r>
            <w:rPr>
              <w:rFonts w:ascii="IBM Plex Sans" w:hAnsi="IBM Plex Sans" w:cs="IBM Plex Sans"/>
              <w:b/>
              <w:color w:val="0C2649"/>
              <w:sz w:val="15"/>
              <w:szCs w:val="15"/>
            </w:rPr>
            <w:t xml:space="preserve">Auditable  ·  </w:t>
          </w:r>
          <w:r>
            <w:rPr>
              <w:color w:val="6B7280"/>
              <w:sz w:val="15"/>
            </w:rPr>
            <w:fldChar w:fldCharType="begin"/>
          </w:r>
          <w:r>
            <w:rPr>
              <w:color w:val="6B7280"/>
              <w:sz w:val="15"/>
            </w:rPr>
            <w:instrText xml:space="preserve"> PAGE </w:instrText>
          </w:r>
          <w:r>
            <w:rPr>
              <w:color w:val="6B7280"/>
              <w:sz w:val="15"/>
            </w:rPr>
            <w:fldChar w:fldCharType="separate"/>
          </w:r>
          <w:r>
            <w:rPr>
              <w:color w:val="6B7280"/>
              <w:sz w:val="15"/>
            </w:rPr>
            <w:t>1</w:t>
          </w:r>
          <w:r>
            <w:rPr>
              <w:color w:val="6B7280"/>
              <w:sz w:val="15"/>
            </w:rPr>
            <w:fldChar w:fldCharType="end"/>
          </w:r>
        </w:p>
      </w:tc>
    </w:tr>
  </w:tbl>
  <w:p>
    <w:pPr>
      <w:spacing w:after="0" w:line="20" w:lineRule="exact"/>
    </w:pPr>
  </w:p>
</w:ftr>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IBM Plex Sans" w:hAnsi="IBM Plex Sans" w:cs="IBM Plex Sans"/>
        <w:color w:val="2C2C2C"/>
        <w:sz w:val="20"/>
        <w:szCs w:val="20"/>
        <w:lang w:val="es-CL"/>
      </w:rPr>
    </w:rPrDefault>
    <w:pPrDefault>
      <w:pPr>
        <w:spacing w:after="120" w:line="276"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10" Type="http://schemas.openxmlformats.org/officeDocument/2006/relationships/image" Target="media/logo-neg.png"/><Relationship Id="rId11" Type="http://schemas.openxmlformats.org/officeDocument/2006/relationships/image" Target="media/logo-red.png"/><Relationship Id="rId20" Type="http://schemas.openxmlformats.org/officeDocument/2006/relationships/footer" Target="footer1.xml"/></Relationships>
</file>