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0C2649"/>
            <w:tcMar>
              <w:top w:w="420" w:type="dxa"/>
              <w:left w:w="340" w:type="dxa"/>
              <w:bottom w:w="400" w:type="dxa"/>
              <w:right w:w="340" w:type="dxa"/>
            </w:tcMar>
            <w:vAlign w:val="top"/>
          </w:tcPr>
          <w:tbl>
            <w:tblPr>
              <w:tblW w:w="94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5000"/>
              <w:gridCol w:w="4400"/>
            </w:tblGrid>
            <w:tr>
              <w:trPr>
                <w:cantSplit/>
              </w:trPr>
              <w:tc>
                <w:tcPr>
                  <w:tcW w:w="5000" w:type="dxa"/>
                  <w:tcBorders>
                    <w:top w:val="nil"/>
                    <w:left w:val="nil"/>
                    <w:bottom w:val="nil"/>
                    <w:right w:val="nil"/>
                  </w:tcBorders>
                  <w:tcMar>
                    <w:top w:w="0" w:type="dxa"/>
                    <w:left w:w="0" w:type="dxa"/>
                    <w:bottom w:w="0" w:type="dxa"/>
                    <w:right w:w="0" w:type="dxa"/>
                  </w:tcMar>
                  <w:vAlign w:val="top"/>
                </w:tcPr>
                <w:p>
                  <w:pPr>
                    <w:keepLines/>
                    <w:spacing w:before="0" w:after="0" w:line="276" w:lineRule="auto"/>
                    <w:ind w:left="0" w:right="0" w:hanging="0"/>
                  </w:pPr>
                  <w:r>
                    <w:drawing>
                      <wp:inline distT="0" distB="0" distL="0" distR="0">
                        <wp:extent cx="914400" cy="241063"/>
                        <wp:effectExtent l="0" t="0" r="0" b="0"/>
                        <wp:docPr id="101" name="Auditable"/>
                        <wp:cNvGraphicFramePr>
                          <a:graphicFrameLocks noChangeAspect="1"/>
                        </wp:cNvGraphicFramePr>
                        <a:graphic>
                          <a:graphicData uri="http://schemas.openxmlformats.org/drawingml/2006/picture">
                            <pic:pic>
                              <pic:nvPicPr>
                                <pic:cNvPr id="101" name="Auditable"/>
                                <pic:cNvPicPr/>
                              </pic:nvPicPr>
                              <pic:blipFill>
                                <a:blip r:embed="rId10"/>
                                <a:stretch>
                                  <a:fillRect/>
                                </a:stretch>
                              </pic:blipFill>
                              <pic:spPr>
                                <a:xfrm>
                                  <a:off x="0" y="0"/>
                                  <a:ext cx="914400" cy="241063"/>
                                </a:xfrm>
                                <a:prstGeom prst="rect">
                                  <a:avLst/>
                                </a:prstGeom>
                              </pic:spPr>
                            </pic:pic>
                          </a:graphicData>
                        </a:graphic>
                      </wp:inline>
                    </w:drawing>
                  </w:r>
                </w:p>
              </w:tc>
              <w:tc>
                <w:tcPr>
                  <w:tcW w:w="4400" w:type="dxa"/>
                  <w:tcBorders>
                    <w:top w:val="nil"/>
                    <w:left w:val="nil"/>
                    <w:bottom w:val="nil"/>
                    <w:right w:val="nil"/>
                  </w:tcBorders>
                  <w:tcMar>
                    <w:top w:w="0" w:type="dxa"/>
                    <w:left w:w="0" w:type="dxa"/>
                    <w:bottom w:w="0" w:type="dxa"/>
                    <w:right w:w="0" w:type="dxa"/>
                  </w:tcMar>
                  <w:vAlign w:val="top"/>
                </w:tcPr>
                <w:p>
                  <w:pPr>
                    <w:keepLines/>
                    <w:spacing w:before="0" w:after="20" w:line="230" w:lineRule="auto"/>
                    <w:ind w:left="0" w:right="0" w:hanging="0"/>
                    <w:jc w:val="right"/>
                  </w:pPr>
                  <w:r>
                    <w:rPr>
                      <w:rFonts w:ascii="IBM Plex Sans" w:hAnsi="IBM Plex Sans" w:cs="IBM Plex Sans"/>
                      <w:color w:val="C5E3EF"/>
                      <w:sz w:val="16"/>
                      <w:szCs w:val="16"/>
                    </w:rPr>
                    <w:t xml:space="preserve">Informe laboral confidencial</w:t>
                  </w:r>
                </w:p>
                <w:p>
                  <w:pPr>
                    <w:keepLines/>
                    <w:spacing w:before="0" w:after="0" w:line="230" w:lineRule="auto"/>
                    <w:ind w:left="0" w:right="0" w:hanging="0"/>
                    <w:jc w:val="right"/>
                  </w:pPr>
                  <w:r>
                    <w:rPr>
                      <w:rFonts w:ascii="IBM Plex Sans" w:hAnsi="IBM Plex Sans" w:cs="IBM Plex Sans"/>
                      <w:color w:val="C5E3EF"/>
                      <w:sz w:val="16"/>
                      <w:szCs w:val="16"/>
                    </w:rPr>
                    <w:t xml:space="preserve">Citación DT 515/2026/6713</w:t>
                  </w:r>
                </w:p>
              </w:tc>
            </w:tr>
          </w:tbl>
          <w:p>
            <w:pPr>
              <w:spacing w:before="0" w:after="420" w:line="20" w:lineRule="exact"/>
            </w:pPr>
          </w:p>
          <w:p>
            <w:pPr>
              <w:pBdr>
                <w:top w:val="single" w:sz="30" w:space="0" w:color="F20530"/>
              </w:pBdr>
              <w:spacing w:before="0" w:after="200" w:line="20" w:lineRule="exact"/>
              <w:ind w:right="8500"/>
            </w:pPr>
          </w:p>
          <w:p>
            <w:pPr>
              <w:keepLines/>
              <w:spacing w:before="0" w:after="120" w:line="240" w:lineRule="auto"/>
              <w:ind w:left="0" w:right="0" w:hanging="0"/>
            </w:pPr>
            <w:r>
              <w:rPr>
                <w:rFonts w:ascii="IBM Plex Sans" w:hAnsi="IBM Plex Sans" w:cs="IBM Plex Sans"/>
                <w:b/>
                <w:spacing w:val="30"/>
                <w:color w:val="F20530"/>
                <w:sz w:val="16"/>
                <w:szCs w:val="16"/>
              </w:rPr>
              <w:t xml:space="preserve">INFORME DE ESCENARIOS · DIRECCIÓN DEL TRABAJO</w:t>
            </w:r>
          </w:p>
          <w:p>
            <w:pPr>
              <w:keepLines/>
              <w:spacing w:before="0" w:after="0" w:line="260" w:lineRule="auto"/>
              <w:ind w:left="0" w:right="0" w:hanging="0"/>
            </w:pPr>
            <w:r>
              <w:rPr>
                <w:rFonts w:ascii="IBM Plex Serif" w:hAnsi="IBM Plex Serif" w:cs="IBM Plex Serif"/>
                <w:b/>
                <w:color w:val="FFFFFF"/>
                <w:sz w:val="44"/>
                <w:szCs w:val="44"/>
              </w:rPr>
              <w:t xml:space="preserve">Reclamo de Judith Quinteros:</w:t>
            </w:r>
          </w:p>
          <w:p>
            <w:pPr>
              <w:keepLines/>
              <w:spacing w:before="0" w:after="140" w:line="260" w:lineRule="auto"/>
              <w:ind w:left="0" w:right="0" w:hanging="0"/>
            </w:pPr>
            <w:r>
              <w:rPr>
                <w:rFonts w:ascii="IBM Plex Serif" w:hAnsi="IBM Plex Serif" w:cs="IBM Plex Serif"/>
                <w:b/>
                <w:color w:val="FFFFFF"/>
                <w:sz w:val="44"/>
                <w:szCs w:val="44"/>
              </w:rPr>
              <w:t xml:space="preserve">escenarios y estrategia</w:t>
            </w:r>
          </w:p>
          <w:p>
            <w:pPr>
              <w:keepLines/>
              <w:spacing w:before="0" w:after="0" w:line="250" w:lineRule="auto"/>
              <w:ind w:left="0" w:right="0" w:hanging="0"/>
            </w:pPr>
            <w:r>
              <w:rPr>
                <w:rFonts w:ascii="IBM Plex Sans" w:hAnsi="IBM Plex Sans" w:cs="IBM Plex Sans"/>
                <w:color w:val="C5E3EF"/>
                <w:sz w:val="21"/>
                <w:szCs w:val="21"/>
              </w:rPr>
              <w:t xml:space="preserve">PIVEXA Ingeniería SpA · RUT 77.796.101-2</w:t>
            </w:r>
          </w:p>
        </w:tc>
      </w:tr>
    </w:tbl>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F20530"/>
            <w:tcMar>
              <w:top w:w="170" w:type="dxa"/>
              <w:left w:w="340" w:type="dxa"/>
              <w:bottom w:w="170" w:type="dxa"/>
              <w:right w:w="340" w:type="dxa"/>
            </w:tcMar>
            <w:vAlign w:val="top"/>
          </w:tcPr>
          <w:p>
            <w:pPr>
              <w:keepLines/>
              <w:spacing w:before="0" w:after="0" w:line="250" w:lineRule="auto"/>
              <w:ind w:left="0" w:right="0" w:hanging="0"/>
            </w:pPr>
            <w:r>
              <w:rPr>
                <w:rFonts w:ascii="IBM Plex Sans" w:hAnsi="IBM Plex Sans" w:cs="IBM Plex Sans"/>
                <w:color w:val="FFFFFF"/>
                <w:sz w:val="18"/>
                <w:szCs w:val="18"/>
              </w:rPr>
              <w:t xml:space="preserve">Reclamante  </w:t>
            </w:r>
            <w:r>
              <w:rPr>
                <w:rFonts w:ascii="IBM Plex Sans" w:hAnsi="IBM Plex Sans" w:cs="IBM Plex Sans"/>
                <w:b/>
                <w:color w:val="FFFFFF"/>
                <w:sz w:val="18"/>
                <w:szCs w:val="18"/>
              </w:rPr>
              <w:t xml:space="preserve">Judith Adriana Quinteros Jara</w:t>
            </w:r>
            <w:r>
              <w:rPr>
                <w:rFonts w:ascii="IBM Plex Sans" w:hAnsi="IBM Plex Sans" w:cs="IBM Plex Sans"/>
                <w:color w:val="FFFFFF"/>
                <w:sz w:val="18"/>
                <w:szCs w:val="18"/>
              </w:rPr>
              <w:t xml:space="preserve">     ·     Comparendo  </w:t>
            </w:r>
            <w:r>
              <w:rPr>
                <w:rFonts w:ascii="IBM Plex Sans" w:hAnsi="IBM Plex Sans" w:cs="IBM Plex Sans"/>
                <w:b/>
                <w:color w:val="FFFFFF"/>
                <w:sz w:val="18"/>
                <w:szCs w:val="18"/>
              </w:rPr>
              <w:t xml:space="preserve">24-09-2026, 13:00 · Centro de Conciliación V Región</w:t>
            </w:r>
          </w:p>
        </w:tc>
      </w:tr>
    </w:tbl>
    <w:p>
      <w:pPr>
        <w:spacing w:before="0" w:after="30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3280"/>
        <w:gridCol w:w="120"/>
        <w:gridCol w:w="3280"/>
        <w:gridCol w:w="120"/>
        <w:gridCol w:w="3280"/>
      </w:tblGrid>
      <w:tr>
        <w:trPr>
          <w:cantSplit/>
        </w:trPr>
        <w:tc>
          <w:tcPr>
            <w:tcW w:w="3280" w:type="dxa"/>
            <w:tcBorders>
              <w:top w:val="nil"/>
              <w:left w:val="nil"/>
              <w:bottom w:val="nil"/>
              <w:right w:val="nil"/>
            </w:tcBorders>
            <w:shd w:val="clear" w:color="auto" w:fill="0C2649"/>
            <w:tcMar>
              <w:top w:w="200" w:type="dxa"/>
              <w:left w:w="220" w:type="dxa"/>
              <w:bottom w:w="200" w:type="dxa"/>
              <w:right w:w="180" w:type="dxa"/>
            </w:tcMar>
            <w:vAlign w:val="top"/>
          </w:tcPr>
          <w:p>
            <w:pPr>
              <w:keepLines/>
              <w:spacing w:before="0" w:after="100" w:line="230" w:lineRule="auto"/>
              <w:ind w:left="0" w:right="0" w:hanging="0"/>
            </w:pPr>
            <w:r>
              <w:rPr>
                <w:rFonts w:ascii="IBM Plex Sans" w:hAnsi="IBM Plex Sans" w:cs="IBM Plex Sans"/>
                <w:b/>
                <w:caps/>
                <w:spacing w:val="20"/>
                <w:color w:val="F20530"/>
                <w:sz w:val="15"/>
                <w:szCs w:val="15"/>
              </w:rPr>
              <w:t xml:space="preserve">Escenario recomendado</w:t>
            </w:r>
          </w:p>
          <w:p>
            <w:pPr>
              <w:keepLines/>
              <w:spacing w:before="0" w:after="60" w:line="260" w:lineRule="auto"/>
              <w:ind w:left="0" w:right="0" w:hanging="0"/>
            </w:pPr>
            <w:r>
              <w:rPr>
                <w:rFonts w:ascii="IBM Plex Serif" w:hAnsi="IBM Plex Serif" w:cs="IBM Plex Serif"/>
                <w:b/>
                <w:color w:val="FFFFFF"/>
                <w:sz w:val="30"/>
                <w:szCs w:val="30"/>
              </w:rPr>
              <w:t xml:space="preserve">~$ 1.087.000</w:t>
            </w:r>
          </w:p>
          <w:p>
            <w:pPr>
              <w:keepLines/>
              <w:spacing w:before="0" w:after="0" w:line="230" w:lineRule="auto"/>
              <w:ind w:left="0" w:right="0" w:hanging="0"/>
            </w:pPr>
            <w:r>
              <w:rPr>
                <w:rFonts w:ascii="IBM Plex Sans" w:hAnsi="IBM Plex Sans" w:cs="IBM Plex Sans"/>
                <w:color w:val="C5E3EF"/>
                <w:sz w:val="16"/>
                <w:szCs w:val="16"/>
              </w:rPr>
              <w:t xml:space="preserve">Mutuo acuerdo al 16-07, caso cerrado</w:t>
            </w:r>
          </w:p>
        </w:tc>
        <w:tc>
          <w:tcPr>
            <w:tcW w:w="1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3280" w:type="dxa"/>
            <w:tcBorders>
              <w:top w:val="nil"/>
              <w:left w:val="single" w:sz="18" w:space="0" w:color="F20530"/>
              <w:bottom w:val="nil"/>
              <w:right w:val="nil"/>
            </w:tcBorders>
            <w:shd w:val="clear" w:color="auto" w:fill="F7F8FA"/>
            <w:tcMar>
              <w:top w:w="200" w:type="dxa"/>
              <w:left w:w="220" w:type="dxa"/>
              <w:bottom w:w="200" w:type="dxa"/>
              <w:right w:w="180" w:type="dxa"/>
            </w:tcMar>
            <w:vAlign w:val="top"/>
          </w:tcPr>
          <w:p>
            <w:pPr>
              <w:keepLines/>
              <w:spacing w:before="0" w:after="100" w:line="230" w:lineRule="auto"/>
              <w:ind w:left="0" w:right="0" w:hanging="0"/>
            </w:pPr>
            <w:r>
              <w:rPr>
                <w:rFonts w:ascii="IBM Plex Sans" w:hAnsi="IBM Plex Sans" w:cs="IBM Plex Sans"/>
                <w:b/>
                <w:caps/>
                <w:spacing w:val="20"/>
                <w:color w:val="F20530"/>
                <w:sz w:val="15"/>
                <w:szCs w:val="15"/>
              </w:rPr>
              <w:t xml:space="preserve">Peor escenario</w:t>
            </w:r>
          </w:p>
          <w:p>
            <w:pPr>
              <w:keepLines/>
              <w:spacing w:before="0" w:after="60" w:line="260" w:lineRule="auto"/>
              <w:ind w:left="0" w:right="0" w:hanging="0"/>
            </w:pPr>
            <w:r>
              <w:rPr>
                <w:rFonts w:ascii="IBM Plex Serif" w:hAnsi="IBM Plex Serif" w:cs="IBM Plex Serif"/>
                <w:b/>
                <w:color w:val="F20530"/>
                <w:sz w:val="30"/>
                <w:szCs w:val="30"/>
              </w:rPr>
              <w:t xml:space="preserve">$ 3 – 8 M</w:t>
            </w:r>
          </w:p>
          <w:p>
            <w:pPr>
              <w:keepLines/>
              <w:spacing w:before="0" w:after="0" w:line="230" w:lineRule="auto"/>
              <w:ind w:left="0" w:right="0" w:hanging="0"/>
            </w:pPr>
            <w:r>
              <w:rPr>
                <w:rFonts w:ascii="IBM Plex Sans" w:hAnsi="IBM Plex Sans" w:cs="IBM Plex Sans"/>
                <w:color w:val="6B7280"/>
                <w:sz w:val="16"/>
                <w:szCs w:val="16"/>
              </w:rPr>
              <w:t xml:space="preserve">Juicio con nulidad del despido</w:t>
            </w:r>
          </w:p>
        </w:tc>
        <w:tc>
          <w:tcPr>
            <w:tcW w:w="1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3280" w:type="dxa"/>
            <w:tcBorders>
              <w:top w:val="nil"/>
              <w:left w:val="single" w:sz="18" w:space="0" w:color="0C2649"/>
              <w:bottom w:val="nil"/>
              <w:right w:val="nil"/>
            </w:tcBorders>
            <w:shd w:val="clear" w:color="auto" w:fill="F7F8FA"/>
            <w:tcMar>
              <w:top w:w="200" w:type="dxa"/>
              <w:left w:w="220" w:type="dxa"/>
              <w:bottom w:w="200" w:type="dxa"/>
              <w:right w:w="180" w:type="dxa"/>
            </w:tcMar>
            <w:vAlign w:val="top"/>
          </w:tcPr>
          <w:p>
            <w:pPr>
              <w:keepLines/>
              <w:spacing w:before="0" w:after="100" w:line="230" w:lineRule="auto"/>
              <w:ind w:left="0" w:right="0" w:hanging="0"/>
            </w:pPr>
            <w:r>
              <w:rPr>
                <w:rFonts w:ascii="IBM Plex Sans" w:hAnsi="IBM Plex Sans" w:cs="IBM Plex Sans"/>
                <w:b/>
                <w:caps/>
                <w:spacing w:val="20"/>
                <w:color w:val="0C2649"/>
                <w:sz w:val="15"/>
                <w:szCs w:val="15"/>
              </w:rPr>
              <w:t xml:space="preserve">Multas con acuerdo</w:t>
            </w:r>
          </w:p>
          <w:p>
            <w:pPr>
              <w:keepLines/>
              <w:spacing w:before="0" w:after="60" w:line="260" w:lineRule="auto"/>
              <w:ind w:left="0" w:right="0" w:hanging="0"/>
            </w:pPr>
            <w:r>
              <w:rPr>
                <w:rFonts w:ascii="IBM Plex Serif" w:hAnsi="IBM Plex Serif" w:cs="IBM Plex Serif"/>
                <w:b/>
                <w:color w:val="0C2649"/>
                <w:sz w:val="30"/>
                <w:szCs w:val="30"/>
              </w:rPr>
              <w:t xml:space="preserve">$ 0</w:t>
            </w:r>
          </w:p>
          <w:p>
            <w:pPr>
              <w:keepLines/>
              <w:spacing w:before="0" w:after="0" w:line="230" w:lineRule="auto"/>
              <w:ind w:left="0" w:right="0" w:hanging="0"/>
            </w:pPr>
            <w:r>
              <w:rPr>
                <w:rFonts w:ascii="IBM Plex Sans" w:hAnsi="IBM Plex Sans" w:cs="IBM Plex Sans"/>
                <w:color w:val="6B7280"/>
                <w:sz w:val="16"/>
                <w:szCs w:val="16"/>
              </w:rPr>
              <w:t xml:space="preserve">La conciliación no es fiscalización</w:t>
            </w:r>
          </w:p>
        </w:tc>
      </w:tr>
    </w:tbl>
    <w:p>
      <w:pPr>
        <w:spacing w:before="0" w:after="360" w:line="20" w:lineRule="exact"/>
      </w:pPr>
    </w:p>
    <w:p>
      <w:pPr>
        <w:keepNext/>
        <w:keepLines/>
        <w:spacing w:before="0" w:after="0" w:line="260" w:lineRule="auto"/>
        <w:ind w:left="0" w:right="0" w:hanging="0"/>
      </w:pPr>
      <w:r>
        <w:rPr>
          <w:rFonts w:ascii="IBM Plex Serif" w:hAnsi="IBM Plex Serif" w:cs="IBM Plex Serif"/>
          <w:b/>
          <w:color w:val="F20530"/>
          <w:sz w:val="20"/>
          <w:szCs w:val="20"/>
        </w:rPr>
        <w:t xml:space="preserve">01   </w:t>
      </w:r>
      <w:r>
        <w:rPr>
          <w:rFonts w:ascii="IBM Plex Serif" w:hAnsi="IBM Plex Serif" w:cs="IBM Plex Serif"/>
          <w:b/>
          <w:color w:val="0C2649"/>
          <w:sz w:val="28"/>
          <w:szCs w:val="28"/>
        </w:rPr>
        <w:t xml:space="preserve">Resumen ejecutivo y recomendación</w:t>
      </w:r>
    </w:p>
    <w:p>
      <w:pPr>
        <w:keepNext/>
        <w:pBdr>
          <w:bottom w:val="single" w:sz="12" w:space="4" w:color="0C2649"/>
        </w:pBdr>
        <w:spacing w:before="0" w:after="200" w:line="20" w:lineRule="exact"/>
      </w:pPr>
    </w:p>
    <w:p>
      <w:pPr>
        <w:keepLines/>
        <w:spacing w:before="0" w:after="200" w:line="276" w:lineRule="auto"/>
        <w:ind w:left="0" w:right="0" w:hanging="0"/>
        <w:jc w:val="both"/>
      </w:pPr>
      <w:r>
        <w:rPr>
          <w:rFonts w:ascii="IBM Plex Sans" w:hAnsi="IBM Plex Sans" w:cs="IBM Plex Sans"/>
          <w:color w:val="2C2C2C"/>
          <w:sz w:val="20"/>
          <w:szCs w:val="20"/>
        </w:rPr>
        <w:t xml:space="preserve">Judith Quinteros fue </w:t>
      </w:r>
      <w:r>
        <w:rPr>
          <w:rFonts w:ascii="IBM Plex Sans" w:hAnsi="IBM Plex Sans" w:cs="IBM Plex Sans"/>
          <w:b/>
          <w:color w:val="2C2C2C"/>
          <w:sz w:val="20"/>
          <w:szCs w:val="20"/>
        </w:rPr>
        <w:t xml:space="preserve">trabajadora dependiente</w:t>
      </w:r>
      <w:r>
        <w:rPr>
          <w:rFonts w:ascii="IBM Plex Sans" w:hAnsi="IBM Plex Sans" w:cs="IBM Plex Sans"/>
          <w:color w:val="2C2C2C"/>
          <w:sz w:val="20"/>
          <w:szCs w:val="20"/>
        </w:rPr>
        <w:t xml:space="preserve"> de PIVEXA (contrato con firma electrónica, liquidaciones de sueldo y cotizaciones pagadas de febrero a junio de 2026), con independencia de que fuera “socia de palabra”. Ese relato no tiene efecto jurídico frente a la Dirección del Trabajo y conviene </w:t>
      </w:r>
      <w:r>
        <w:rPr>
          <w:rFonts w:ascii="IBM Plex Sans" w:hAnsi="IBM Plex Sans" w:cs="IBM Plex Sans"/>
          <w:b/>
          <w:color w:val="2C2C2C"/>
          <w:sz w:val="20"/>
          <w:szCs w:val="20"/>
        </w:rPr>
        <w:t xml:space="preserve">no invocarlo</w:t>
      </w:r>
      <w:r>
        <w:rPr>
          <w:rFonts w:ascii="IBM Plex Sans" w:hAnsi="IBM Plex Sans" w:cs="IBM Plex Sans"/>
          <w:color w:val="2C2C2C"/>
          <w:sz w:val="20"/>
          <w:szCs w:val="20"/>
        </w:rPr>
        <w:t xml:space="preserve">. El finiquito por mutuo acuerdo con fecha de término 30-06-2026 </w:t>
      </w:r>
      <w:r>
        <w:rPr>
          <w:rFonts w:ascii="IBM Plex Sans" w:hAnsi="IBM Plex Sans" w:cs="IBM Plex Sans"/>
          <w:b/>
          <w:color w:val="2C2C2C"/>
          <w:sz w:val="20"/>
          <w:szCs w:val="20"/>
        </w:rPr>
        <w:t xml:space="preserve">no protege a la empresa</w:t>
      </w:r>
      <w:r>
        <w:rPr>
          <w:rFonts w:ascii="IBM Plex Sans" w:hAnsi="IBM Plex Sans" w:cs="IBM Plex Sans"/>
          <w:color w:val="2C2C2C"/>
          <w:sz w:val="20"/>
          <w:szCs w:val="20"/>
        </w:rPr>
        <w:t xml:space="preserve">: se firmó de forma simple (firma y huella, sin ministro de fe) y no se pagó, por lo que carece de poder liberatorio (Art. 177 del Código del Trabajo). Sobre esa base la trabajadora reclama el sueldo del 01 al 16 de julio, las cotizaciones de ese período y el finiquito impago.</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0C2649"/>
            <w:tcMar>
              <w:top w:w="220" w:type="dxa"/>
              <w:left w:w="260" w:type="dxa"/>
              <w:bottom w:w="220" w:type="dxa"/>
              <w:right w:w="260" w:type="dxa"/>
            </w:tcMar>
            <w:vAlign w:val="top"/>
          </w:tcPr>
          <w:p>
            <w:pPr>
              <w:keepNext/>
              <w:keepLines/>
              <w:spacing w:before="0" w:after="80" w:line="230" w:lineRule="auto"/>
              <w:ind w:left="0" w:right="0" w:hanging="0"/>
            </w:pPr>
            <w:r>
              <w:rPr>
                <w:rFonts w:ascii="IBM Plex Sans" w:hAnsi="IBM Plex Sans" w:cs="IBM Plex Sans"/>
                <w:b/>
                <w:caps/>
                <w:spacing w:val="24"/>
                <w:color w:val="F20530"/>
                <w:sz w:val="15"/>
                <w:szCs w:val="15"/>
              </w:rPr>
              <w:t xml:space="preserve">Recomendación</w:t>
            </w:r>
          </w:p>
          <w:p>
            <w:pPr>
              <w:keepLines/>
              <w:spacing w:before="0" w:after="0" w:line="280" w:lineRule="auto"/>
              <w:ind w:left="0" w:right="0" w:hanging="0"/>
              <w:jc w:val="both"/>
            </w:pPr>
            <w:r>
              <w:rPr>
                <w:rFonts w:ascii="IBM Plex Sans" w:hAnsi="IBM Plex Sans" w:cs="IBM Plex Sans"/>
                <w:color w:val="FFFFFF"/>
                <w:sz w:val="20"/>
                <w:szCs w:val="20"/>
              </w:rPr>
              <w:t xml:space="preserve">Cerrar en el comparendo del 24-09 mediante un finiquito </w:t>
            </w:r>
            <w:r>
              <w:rPr>
                <w:rFonts w:ascii="IBM Plex Sans" w:hAnsi="IBM Plex Sans" w:cs="IBM Plex Sans"/>
                <w:b/>
                <w:color w:val="C5E3EF"/>
                <w:sz w:val="20"/>
                <w:szCs w:val="20"/>
              </w:rPr>
              <w:t xml:space="preserve">por mutuo acuerdo (Art. 159 N°1) con fecha de término 16-07-2026</w:t>
            </w:r>
            <w:r>
              <w:rPr>
                <w:rFonts w:ascii="IBM Plex Sans" w:hAnsi="IBM Plex Sans" w:cs="IBM Plex Sans"/>
                <w:color w:val="FFFFFF"/>
                <w:sz w:val="20"/>
                <w:szCs w:val="20"/>
              </w:rPr>
              <w:t xml:space="preserve">, ratificado ante el/la conciliador(a) —que actúa como ministro de fe— y </w:t>
            </w:r>
            <w:r>
              <w:rPr>
                <w:rFonts w:ascii="IBM Plex Sans" w:hAnsi="IBM Plex Sans" w:cs="IBM Plex Sans"/>
                <w:b/>
                <w:color w:val="C5E3EF"/>
                <w:sz w:val="20"/>
                <w:szCs w:val="20"/>
              </w:rPr>
              <w:t xml:space="preserve">pagado en el acto o con acuerdo de pago documentado</w:t>
            </w:r>
            <w:r>
              <w:rPr>
                <w:rFonts w:ascii="IBM Plex Sans" w:hAnsi="IBM Plex Sans" w:cs="IBM Plex Sans"/>
                <w:color w:val="FFFFFF"/>
                <w:sz w:val="20"/>
                <w:szCs w:val="20"/>
              </w:rPr>
              <w:t xml:space="preserve">, regularizando además las cotizaciones de julio. Esto extingue el reclamo, otorga poder liberatorio y —lo decisivo— mantiene el caso </w:t>
            </w:r>
            <w:r>
              <w:rPr>
                <w:rFonts w:ascii="IBM Plex Sans" w:hAnsi="IBM Plex Sans" w:cs="IBM Plex Sans"/>
                <w:b/>
                <w:color w:val="C5E3EF"/>
                <w:sz w:val="20"/>
                <w:szCs w:val="20"/>
              </w:rPr>
              <w:t xml:space="preserve">fuera de la nulidad del despido (Ley Bustos)</w:t>
            </w:r>
            <w:r>
              <w:rPr>
                <w:rFonts w:ascii="IBM Plex Sans" w:hAnsi="IBM Plex Sans" w:cs="IBM Plex Sans"/>
                <w:color w:val="FFFFFF"/>
                <w:sz w:val="20"/>
                <w:szCs w:val="20"/>
              </w:rPr>
              <w:t xml:space="preserve">, que no se aplica al mutuo acuerdo.</w:t>
            </w:r>
          </w:p>
        </w:tc>
      </w:tr>
    </w:tbl>
    <w:p>
      <w:pPr>
        <w:spacing w:before="0" w:after="400" w:line="20" w:lineRule="exact"/>
      </w:pPr>
    </w:p>
    <w:p>
      <w:pPr>
        <w:keepNext/>
        <w:keepLines/>
        <w:spacing w:before="0" w:after="0" w:line="260" w:lineRule="auto"/>
        <w:ind w:left="0" w:right="0" w:hanging="0"/>
      </w:pPr>
      <w:r>
        <w:rPr>
          <w:rFonts w:ascii="IBM Plex Serif" w:hAnsi="IBM Plex Serif" w:cs="IBM Plex Serif"/>
          <w:b/>
          <w:color w:val="F20530"/>
          <w:sz w:val="20"/>
          <w:szCs w:val="20"/>
        </w:rPr>
        <w:t xml:space="preserve">02   </w:t>
      </w:r>
      <w:r>
        <w:rPr>
          <w:rFonts w:ascii="IBM Plex Serif" w:hAnsi="IBM Plex Serif" w:cs="IBM Plex Serif"/>
          <w:b/>
          <w:color w:val="0C2649"/>
          <w:sz w:val="28"/>
          <w:szCs w:val="28"/>
        </w:rPr>
        <w:t xml:space="preserve">Calificación de la relación: trabajadora, no socia</w:t>
      </w:r>
    </w:p>
    <w:p>
      <w:pPr>
        <w:keepNext/>
        <w:pBdr>
          <w:bottom w:val="single" w:sz="12" w:space="4" w:color="0C2649"/>
        </w:pBdr>
        <w:spacing w:before="0" w:after="200" w:line="20" w:lineRule="exact"/>
      </w:pPr>
    </w:p>
    <w:p>
      <w:pPr>
        <w:keepNext/>
        <w:keepLines/>
        <w:spacing w:before="0" w:after="160" w:line="276" w:lineRule="auto"/>
        <w:ind w:left="0" w:right="0" w:hanging="0"/>
        <w:jc w:val="both"/>
      </w:pPr>
      <w:r>
        <w:rPr>
          <w:rFonts w:ascii="IBM Plex Sans" w:hAnsi="IBM Plex Sans" w:cs="IBM Plex Sans"/>
          <w:color w:val="2C2C2C"/>
          <w:sz w:val="20"/>
          <w:szCs w:val="20"/>
        </w:rPr>
        <w:t xml:space="preserve">El primer instinto —“era socia de hecho, no una trabajadora real”— es el peor camino ante la DT, y hay que descartarlo de plano:</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18" w:space="0" w:color="0C2649"/>
              <w:bottom w:val="nil"/>
              <w:right w:val="nil"/>
            </w:tcBorders>
            <w:shd w:val="clear" w:color="auto" w:fill="F7F8FA"/>
            <w:tcMar>
              <w:top w:w="150" w:type="dxa"/>
              <w:left w:w="220" w:type="dxa"/>
              <w:bottom w:w="150" w:type="dxa"/>
              <w:right w:w="220" w:type="dxa"/>
            </w:tcMar>
            <w:vAlign w:val="top"/>
          </w:tcPr>
          <w:p>
            <w:pPr>
              <w:keepLines/>
              <w:spacing w:before="0" w:after="0" w:line="265" w:lineRule="auto"/>
              <w:ind w:left="0" w:right="0" w:hanging="0"/>
              <w:jc w:val="both"/>
            </w:pPr>
            <w:r>
              <w:rPr>
                <w:rFonts w:ascii="IBM Plex Sans" w:hAnsi="IBM Plex Sans" w:cs="IBM Plex Sans"/>
                <w:b/>
                <w:color w:val="0C2649"/>
                <w:sz w:val="19"/>
                <w:szCs w:val="19"/>
              </w:rPr>
              <w:t xml:space="preserve">Existe contrato de trabajo con firma electrónica </w:t>
            </w:r>
            <w:r>
              <w:rPr>
                <w:rFonts w:ascii="IBM Plex Sans" w:hAnsi="IBM Plex Sans" w:cs="IBM Plex Sans"/>
                <w:color w:val="2C2C2C"/>
                <w:sz w:val="19"/>
                <w:szCs w:val="19"/>
              </w:rPr>
              <w:t xml:space="preserve">con cargo (Administradora), jornada y remuneración pactada. Opera la presunción de laboralidad del Art. 8 del Código del Trabajo.</w:t>
            </w:r>
          </w:p>
        </w:tc>
      </w:tr>
    </w:tbl>
    <w:p>
      <w:pPr>
        <w:spacing w:before="0" w:after="11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18" w:space="0" w:color="0C2649"/>
              <w:bottom w:val="nil"/>
              <w:right w:val="nil"/>
            </w:tcBorders>
            <w:shd w:val="clear" w:color="auto" w:fill="F7F8FA"/>
            <w:tcMar>
              <w:top w:w="150" w:type="dxa"/>
              <w:left w:w="220" w:type="dxa"/>
              <w:bottom w:w="150" w:type="dxa"/>
              <w:right w:w="220" w:type="dxa"/>
            </w:tcMar>
            <w:vAlign w:val="top"/>
          </w:tcPr>
          <w:p>
            <w:pPr>
              <w:keepLines/>
              <w:spacing w:before="0" w:after="0" w:line="265" w:lineRule="auto"/>
              <w:ind w:left="0" w:right="0" w:hanging="0"/>
              <w:jc w:val="both"/>
            </w:pPr>
            <w:r>
              <w:rPr>
                <w:rFonts w:ascii="IBM Plex Sans" w:hAnsi="IBM Plex Sans" w:cs="IBM Plex Sans"/>
                <w:b/>
                <w:color w:val="0C2649"/>
                <w:sz w:val="19"/>
                <w:szCs w:val="19"/>
              </w:rPr>
              <w:t xml:space="preserve">Se pagaron cotizaciones previsionales </w:t>
            </w:r>
            <w:r>
              <w:rPr>
                <w:rFonts w:ascii="IBM Plex Sans" w:hAnsi="IBM Plex Sans" w:cs="IBM Plex Sans"/>
                <w:color w:val="2C2C2C"/>
                <w:sz w:val="19"/>
                <w:szCs w:val="19"/>
              </w:rPr>
              <w:t xml:space="preserve">(AFP Modelo, FONASA, AFC, SIS, mutual ACHS) de febrero a junio, y </w:t>
            </w:r>
            <w:r>
              <w:rPr>
                <w:rFonts w:ascii="IBM Plex Sans" w:hAnsi="IBM Plex Sans" w:cs="IBM Plex Sans"/>
                <w:b/>
                <w:color w:val="0C2649"/>
                <w:sz w:val="19"/>
                <w:szCs w:val="19"/>
              </w:rPr>
              <w:t xml:space="preserve">se emitieron liquidaciones de sueldo</w:t>
            </w:r>
            <w:r>
              <w:rPr>
                <w:rFonts w:ascii="IBM Plex Sans" w:hAnsi="IBM Plex Sans" w:cs="IBM Plex Sans"/>
                <w:color w:val="2C2C2C"/>
                <w:sz w:val="19"/>
                <w:szCs w:val="19"/>
              </w:rPr>
              <w:t xml:space="preserve">. La empresa se comportó, mes a mes, como empleadora de una dependiente.</w:t>
            </w:r>
          </w:p>
        </w:tc>
      </w:tr>
    </w:tbl>
    <w:p>
      <w:pPr>
        <w:spacing w:before="0" w:after="11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18" w:space="0" w:color="0C2649"/>
              <w:bottom w:val="nil"/>
              <w:right w:val="nil"/>
            </w:tcBorders>
            <w:shd w:val="clear" w:color="auto" w:fill="F7F8FA"/>
            <w:tcMar>
              <w:top w:w="150" w:type="dxa"/>
              <w:left w:w="220" w:type="dxa"/>
              <w:bottom w:w="150" w:type="dxa"/>
              <w:right w:w="220" w:type="dxa"/>
            </w:tcMar>
            <w:vAlign w:val="top"/>
          </w:tcPr>
          <w:p>
            <w:pPr>
              <w:keepLines/>
              <w:spacing w:before="0" w:after="0" w:line="265" w:lineRule="auto"/>
              <w:ind w:left="0" w:right="0" w:hanging="0"/>
              <w:jc w:val="both"/>
            </w:pPr>
            <w:r>
              <w:rPr>
                <w:rFonts w:ascii="IBM Plex Sans" w:hAnsi="IBM Plex Sans" w:cs="IBM Plex Sans"/>
                <w:b/>
                <w:color w:val="0C2649"/>
                <w:sz w:val="19"/>
                <w:szCs w:val="19"/>
              </w:rPr>
              <w:t xml:space="preserve">Nunca ingresó a la sociedad: </w:t>
            </w:r>
            <w:r>
              <w:rPr>
                <w:rFonts w:ascii="IBM Plex Sans" w:hAnsi="IBM Plex Sans" w:cs="IBM Plex Sans"/>
                <w:color w:val="2C2C2C"/>
                <w:sz w:val="19"/>
                <w:szCs w:val="19"/>
              </w:rPr>
              <w:t xml:space="preserve">no hay escritura de modificación, aporte de capital ni inscripción. Jurídicamente </w:t>
            </w:r>
            <w:r>
              <w:rPr>
                <w:rFonts w:ascii="IBM Plex Sans" w:hAnsi="IBM Plex Sans" w:cs="IBM Plex Sans"/>
                <w:b/>
                <w:color w:val="0C2649"/>
                <w:sz w:val="19"/>
                <w:szCs w:val="19"/>
              </w:rPr>
              <w:t xml:space="preserve">no fue socia</w:t>
            </w:r>
            <w:r>
              <w:rPr>
                <w:rFonts w:ascii="IBM Plex Sans" w:hAnsi="IBM Plex Sans" w:cs="IBM Plex Sans"/>
                <w:color w:val="2C2C2C"/>
                <w:sz w:val="19"/>
                <w:szCs w:val="19"/>
              </w:rPr>
              <w:t xml:space="preserve">; el acuerdo “de palabra” es irrelevante y no consta en ningún instrumento.</w:t>
            </w:r>
          </w:p>
        </w:tc>
      </w:tr>
    </w:tbl>
    <w:p>
      <w:pPr>
        <w:spacing w:before="0" w:after="110" w:line="20" w:lineRule="exact"/>
      </w:pPr>
    </w:p>
    <w:p>
      <w:pPr>
        <w:spacing w:before="0" w:after="60" w:line="20" w:lineRule="exact"/>
      </w:pPr>
    </w:p>
    <w:p>
      <w:pPr>
        <w:keepLines/>
        <w:spacing w:before="0" w:after="180" w:line="276" w:lineRule="auto"/>
        <w:ind w:left="0" w:right="0" w:hanging="0"/>
        <w:jc w:val="both"/>
      </w:pPr>
      <w:r>
        <w:rPr>
          <w:rFonts w:ascii="IBM Plex Sans" w:hAnsi="IBM Plex Sans" w:cs="IBM Plex Sans"/>
          <w:color w:val="2C2C2C"/>
          <w:sz w:val="20"/>
          <w:szCs w:val="20"/>
        </w:rPr>
        <w:t xml:space="preserve">Por </w:t>
      </w:r>
      <w:r>
        <w:rPr>
          <w:rFonts w:ascii="IBM Plex Sans" w:hAnsi="IBM Plex Sans" w:cs="IBM Plex Sans"/>
          <w:b/>
          <w:color w:val="2C2C2C"/>
          <w:sz w:val="20"/>
          <w:szCs w:val="20"/>
        </w:rPr>
        <w:t xml:space="preserve">primacía de la realidad</w:t>
      </w:r>
      <w:r>
        <w:rPr>
          <w:rFonts w:ascii="IBM Plex Sans" w:hAnsi="IBM Plex Sans" w:cs="IBM Plex Sans"/>
          <w:color w:val="2C2C2C"/>
          <w:sz w:val="20"/>
          <w:szCs w:val="20"/>
        </w:rPr>
        <w:t xml:space="preserve">, y con la propia documentación de la empresa acreditando subordinación y dependencia, ante la DT y ante un juez Judith </w:t>
      </w:r>
      <w:r>
        <w:rPr>
          <w:rFonts w:ascii="IBM Plex Sans" w:hAnsi="IBM Plex Sans" w:cs="IBM Plex Sans"/>
          <w:b/>
          <w:color w:val="2C2C2C"/>
          <w:sz w:val="20"/>
          <w:szCs w:val="20"/>
        </w:rPr>
        <w:t xml:space="preserve">es trabajadora dependiente</w:t>
      </w:r>
      <w:r>
        <w:rPr>
          <w:rFonts w:ascii="IBM Plex Sans" w:hAnsi="IBM Plex Sans" w:cs="IBM Plex Sans"/>
          <w:color w:val="2C2C2C"/>
          <w:sz w:val="20"/>
          <w:szCs w:val="20"/>
        </w:rPr>
        <w:t xml:space="preserve">. Sostener lo contrario no solo se pierde: expone a la empresa a que se lea como un intento de eludir obligaciones ya reconocidas (se pagaron cotizaciones como dependiente), debilitando su posición en todo lo demás.</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24" w:space="0" w:color="F20530"/>
              <w:bottom w:val="nil"/>
              <w:right w:val="nil"/>
            </w:tcBorders>
            <w:shd w:val="clear" w:color="auto" w:fill="E6EAF1"/>
            <w:tcMar>
              <w:top w:w="180" w:type="dxa"/>
              <w:left w:w="220" w:type="dxa"/>
              <w:bottom w:w="180" w:type="dxa"/>
              <w:right w:w="220" w:type="dxa"/>
            </w:tcMar>
            <w:vAlign w:val="top"/>
          </w:tcPr>
          <w:p>
            <w:pPr>
              <w:keepLines/>
              <w:spacing w:before="0" w:after="0" w:line="265" w:lineRule="auto"/>
              <w:ind w:left="0" w:right="0" w:hanging="0"/>
              <w:jc w:val="both"/>
            </w:pPr>
            <w:r>
              <w:rPr>
                <w:rFonts w:ascii="IBM Plex Sans" w:hAnsi="IBM Plex Sans" w:cs="IBM Plex Sans"/>
                <w:b/>
                <w:color w:val="F20530"/>
                <w:sz w:val="19"/>
                <w:szCs w:val="19"/>
              </w:rPr>
              <w:t xml:space="preserve">Consecuencia práctica: </w:t>
            </w:r>
            <w:r>
              <w:rPr>
                <w:rFonts w:ascii="IBM Plex Sans" w:hAnsi="IBM Plex Sans" w:cs="IBM Plex Sans"/>
                <w:color w:val="1A1A1A"/>
                <w:sz w:val="19"/>
                <w:szCs w:val="19"/>
              </w:rPr>
              <w:t xml:space="preserve">el eje de la defensa no es discutir si hubo relación laboral, sino </w:t>
            </w:r>
            <w:r>
              <w:rPr>
                <w:rFonts w:ascii="IBM Plex Sans" w:hAnsi="IBM Plex Sans" w:cs="IBM Plex Sans"/>
                <w:b/>
                <w:color w:val="1A1A1A"/>
                <w:sz w:val="19"/>
                <w:szCs w:val="19"/>
              </w:rPr>
              <w:t xml:space="preserve">cerrarla bien</w:t>
            </w:r>
            <w:r>
              <w:rPr>
                <w:rFonts w:ascii="IBM Plex Sans" w:hAnsi="IBM Plex Sans" w:cs="IBM Plex Sans"/>
                <w:color w:val="1A1A1A"/>
                <w:sz w:val="19"/>
                <w:szCs w:val="19"/>
              </w:rPr>
              <w:t xml:space="preserve"> (finiquito válido, cotizaciones al día).</w:t>
            </w:r>
          </w:p>
        </w:tc>
      </w:tr>
    </w:tbl>
    <w:p>
      <w:pPr>
        <w:spacing w:before="0" w:after="400" w:line="20" w:lineRule="exact"/>
      </w:pPr>
    </w:p>
    <w:p>
      <w:pPr>
        <w:keepNext/>
        <w:keepLines/>
        <w:spacing w:before="0" w:after="0" w:line="260" w:lineRule="auto"/>
        <w:ind w:left="0" w:right="0" w:hanging="0"/>
      </w:pPr>
      <w:r>
        <w:rPr>
          <w:rFonts w:ascii="IBM Plex Serif" w:hAnsi="IBM Plex Serif" w:cs="IBM Plex Serif"/>
          <w:b/>
          <w:color w:val="F20530"/>
          <w:sz w:val="20"/>
          <w:szCs w:val="20"/>
        </w:rPr>
        <w:t xml:space="preserve">03   </w:t>
      </w:r>
      <w:r>
        <w:rPr>
          <w:rFonts w:ascii="IBM Plex Serif" w:hAnsi="IBM Plex Serif" w:cs="IBM Plex Serif"/>
          <w:b/>
          <w:color w:val="0C2649"/>
          <w:sz w:val="28"/>
          <w:szCs w:val="28"/>
        </w:rPr>
        <w:t xml:space="preserve">El finiquito del 30-06 no protege a la empresa</w:t>
      </w:r>
    </w:p>
    <w:p>
      <w:pPr>
        <w:keepNext/>
        <w:pBdr>
          <w:bottom w:val="single" w:sz="12" w:space="4" w:color="0C2649"/>
        </w:pBdr>
        <w:spacing w:before="0" w:after="200" w:line="20" w:lineRule="exact"/>
      </w:pPr>
    </w:p>
    <w:p>
      <w:pPr>
        <w:keepNext/>
        <w:keepLines/>
        <w:spacing w:before="0" w:after="180" w:line="276" w:lineRule="auto"/>
        <w:ind w:left="0" w:right="0" w:hanging="0"/>
        <w:jc w:val="both"/>
      </w:pPr>
      <w:r>
        <w:rPr>
          <w:rFonts w:ascii="IBM Plex Sans" w:hAnsi="IBM Plex Sans" w:cs="IBM Plex Sans"/>
          <w:color w:val="2C2C2C"/>
          <w:sz w:val="20"/>
          <w:szCs w:val="20"/>
        </w:rPr>
        <w:t xml:space="preserve">El finiquito por mutuo acuerdo con término al 30-06-2026 (por $261.250, solo feriado proporcional) tiene </w:t>
      </w:r>
      <w:r>
        <w:rPr>
          <w:rFonts w:ascii="IBM Plex Sans" w:hAnsi="IBM Plex Sans" w:cs="IBM Plex Sans"/>
          <w:b/>
          <w:color w:val="2C2C2C"/>
          <w:sz w:val="20"/>
          <w:szCs w:val="20"/>
        </w:rPr>
        <w:t xml:space="preserve">dos defectos que lo dejan sin valor liberatorio</w:t>
      </w:r>
      <w:r>
        <w:rPr>
          <w:rFonts w:ascii="IBM Plex Sans" w:hAnsi="IBM Plex Sans" w:cs="IBM Plex Sans"/>
          <w:color w:val="2C2C2C"/>
          <w:sz w:val="20"/>
          <w:szCs w:val="20"/>
        </w:rPr>
        <w:t xml:space="preserve">:</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F20530"/>
            <w:tcMar>
              <w:top w:w="90" w:type="dxa"/>
              <w:left w:w="0" w:type="dxa"/>
              <w:bottom w:w="90" w:type="dxa"/>
              <w:right w:w="0" w:type="dxa"/>
            </w:tcMar>
            <w:vAlign w:val="center"/>
          </w:tcPr>
          <w:p>
            <w:pPr>
              <w:keepLines/>
              <w:spacing w:before="0" w:after="0" w:line="240" w:lineRule="auto"/>
              <w:ind w:left="0" w:right="0" w:hanging="0"/>
              <w:jc w:val="center"/>
            </w:pPr>
            <w:r>
              <w:rPr>
                <w:rFonts w:ascii="IBM Plex Serif" w:hAnsi="IBM Plex Serif" w:cs="IBM Plex Serif"/>
                <w:b/>
                <w:color w:val="FFFFFF"/>
                <w:sz w:val="20"/>
                <w:szCs w:val="20"/>
              </w:rPr>
              <w:t xml:space="preserve">1</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20" w:type="dxa"/>
              <w:left w:w="0" w:type="dxa"/>
              <w:bottom w:w="0" w:type="dxa"/>
              <w:right w:w="0" w:type="dxa"/>
            </w:tcMar>
            <w:vAlign w:val="top"/>
          </w:tcPr>
          <w:p>
            <w:pPr>
              <w:keepLines/>
              <w:spacing w:before="0" w:after="50" w:line="250" w:lineRule="auto"/>
              <w:ind w:left="0" w:right="0" w:hanging="0"/>
            </w:pPr>
            <w:r>
              <w:rPr>
                <w:rFonts w:ascii="IBM Plex Sans" w:hAnsi="IBM Plex Sans" w:cs="IBM Plex Sans"/>
                <w:b/>
                <w:color w:val="0C2649"/>
                <w:sz w:val="20"/>
                <w:szCs w:val="20"/>
              </w:rPr>
              <w:t xml:space="preserve">Firma simple, sin ministro de fe</w:t>
            </w:r>
          </w:p>
          <w:p>
            <w:pPr>
              <w:keepLines/>
              <w:spacing w:before="0" w:after="0" w:line="262" w:lineRule="auto"/>
              <w:ind w:left="0" w:right="0" w:hanging="0"/>
              <w:jc w:val="both"/>
            </w:pPr>
            <w:r>
              <w:rPr>
                <w:rFonts w:ascii="IBM Plex Sans" w:hAnsi="IBM Plex Sans" w:cs="IBM Plex Sans"/>
                <w:color w:val="2C2C2C"/>
                <w:sz w:val="19"/>
                <w:szCs w:val="19"/>
              </w:rPr>
              <w:t xml:space="preserve">El Art. 177 del Código del Trabajo exige que el finiquito se firme ante notario, inspector del trabajo, presidente del sindicato u otro ministro de fe para que pueda </w:t>
            </w:r>
            <w:r>
              <w:rPr>
                <w:rFonts w:ascii="IBM Plex Sans" w:hAnsi="IBM Plex Sans" w:cs="IBM Plex Sans"/>
                <w:b/>
                <w:color w:val="0C2649"/>
                <w:sz w:val="19"/>
                <w:szCs w:val="19"/>
              </w:rPr>
              <w:t xml:space="preserve">oponerse a la trabajadora</w:t>
            </w:r>
            <w:r>
              <w:rPr>
                <w:rFonts w:ascii="IBM Plex Sans" w:hAnsi="IBM Plex Sans" w:cs="IBM Plex Sans"/>
                <w:color w:val="2C2C2C"/>
                <w:sz w:val="19"/>
                <w:szCs w:val="19"/>
              </w:rPr>
              <w:t xml:space="preserve"> (poder liberatorio y mérito ejecutivo). Un finiquito con firma y huella “a mano alzada” no ratificado </w:t>
            </w:r>
            <w:r>
              <w:rPr>
                <w:rFonts w:ascii="IBM Plex Sans" w:hAnsi="IBM Plex Sans" w:cs="IBM Plex Sans"/>
                <w:b/>
                <w:color w:val="0C2649"/>
                <w:sz w:val="19"/>
                <w:szCs w:val="19"/>
              </w:rPr>
              <w:t xml:space="preserve">no se le puede oponer</w:t>
            </w:r>
            <w:r>
              <w:rPr>
                <w:rFonts w:ascii="IBM Plex Sans" w:hAnsi="IBM Plex Sans" w:cs="IBM Plex Sans"/>
                <w:color w:val="2C2C2C"/>
                <w:sz w:val="19"/>
                <w:szCs w:val="19"/>
              </w:rPr>
              <w:t xml:space="preserve">: ella conserva intactas todas sus acciones.</w:t>
            </w:r>
          </w:p>
        </w:tc>
      </w:tr>
    </w:tbl>
    <w:p>
      <w:pPr>
        <w:spacing w:before="0" w:after="16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F20530"/>
            <w:tcMar>
              <w:top w:w="90" w:type="dxa"/>
              <w:left w:w="0" w:type="dxa"/>
              <w:bottom w:w="90" w:type="dxa"/>
              <w:right w:w="0" w:type="dxa"/>
            </w:tcMar>
            <w:vAlign w:val="center"/>
          </w:tcPr>
          <w:p>
            <w:pPr>
              <w:keepLines/>
              <w:spacing w:before="0" w:after="0" w:line="240" w:lineRule="auto"/>
              <w:ind w:left="0" w:right="0" w:hanging="0"/>
              <w:jc w:val="center"/>
            </w:pPr>
            <w:r>
              <w:rPr>
                <w:rFonts w:ascii="IBM Plex Serif" w:hAnsi="IBM Plex Serif" w:cs="IBM Plex Serif"/>
                <w:b/>
                <w:color w:val="FFFFFF"/>
                <w:sz w:val="20"/>
                <w:szCs w:val="20"/>
              </w:rPr>
              <w:t xml:space="preserve">2</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20" w:type="dxa"/>
              <w:left w:w="0" w:type="dxa"/>
              <w:bottom w:w="0" w:type="dxa"/>
              <w:right w:w="0" w:type="dxa"/>
            </w:tcMar>
            <w:vAlign w:val="top"/>
          </w:tcPr>
          <w:p>
            <w:pPr>
              <w:keepLines/>
              <w:spacing w:before="0" w:after="50" w:line="250" w:lineRule="auto"/>
              <w:ind w:left="0" w:right="0" w:hanging="0"/>
            </w:pPr>
            <w:r>
              <w:rPr>
                <w:rFonts w:ascii="IBM Plex Sans" w:hAnsi="IBM Plex Sans" w:cs="IBM Plex Sans"/>
                <w:b/>
                <w:color w:val="0C2649"/>
                <w:sz w:val="20"/>
                <w:szCs w:val="20"/>
              </w:rPr>
              <w:t xml:space="preserve">No fue pagado</w:t>
            </w:r>
          </w:p>
          <w:p>
            <w:pPr>
              <w:keepLines/>
              <w:spacing w:before="0" w:after="0" w:line="262" w:lineRule="auto"/>
              <w:ind w:left="0" w:right="0" w:hanging="0"/>
              <w:jc w:val="both"/>
            </w:pPr>
            <w:r>
              <w:rPr>
                <w:rFonts w:ascii="IBM Plex Sans" w:hAnsi="IBM Plex Sans" w:cs="IBM Plex Sans"/>
                <w:color w:val="2C2C2C"/>
                <w:sz w:val="19"/>
                <w:szCs w:val="19"/>
              </w:rPr>
              <w:t xml:space="preserve">Aunque estuviera bien ratificado, un finiquito impago no extingue las obligaciones; solo documenta lo que se debe.</w:t>
            </w:r>
          </w:p>
        </w:tc>
      </w:tr>
    </w:tbl>
    <w:p>
      <w:pPr>
        <w:spacing w:before="0" w:after="200" w:line="20" w:lineRule="exact"/>
      </w:pPr>
    </w:p>
    <w:p>
      <w:pPr>
        <w:keepLines/>
        <w:spacing w:before="0" w:after="140" w:line="276" w:lineRule="auto"/>
        <w:ind w:left="0" w:right="0" w:hanging="0"/>
        <w:jc w:val="both"/>
      </w:pPr>
      <w:r>
        <w:rPr>
          <w:rFonts w:ascii="IBM Plex Sans" w:hAnsi="IBM Plex Sans" w:cs="IBM Plex Sans"/>
          <w:color w:val="2C2C2C"/>
          <w:sz w:val="20"/>
          <w:szCs w:val="20"/>
        </w:rPr>
        <w:t xml:space="preserve">El </w:t>
      </w:r>
      <w:r>
        <w:rPr>
          <w:rFonts w:ascii="IBM Plex Sans" w:hAnsi="IBM Plex Sans" w:cs="IBM Plex Sans"/>
          <w:b/>
          <w:color w:val="2C2C2C"/>
          <w:sz w:val="20"/>
          <w:szCs w:val="20"/>
        </w:rPr>
        <w:t xml:space="preserve">único documento firmado con la trabajadora es el finiquito del 30-06</w:t>
      </w:r>
      <w:r>
        <w:rPr>
          <w:rFonts w:ascii="IBM Plex Sans" w:hAnsi="IBM Plex Sans" w:cs="IBM Plex Sans"/>
          <w:color w:val="2C2C2C"/>
          <w:sz w:val="20"/>
          <w:szCs w:val="20"/>
        </w:rPr>
        <w:t xml:space="preserve"> (firma simple, impago). Los finiquitos con término al 16-07 (mutuo acuerdo, abandono y necesidades de la empresa).</w:t>
      </w:r>
    </w:p>
    <w:p>
      <w:pPr>
        <w:keepLines/>
        <w:spacing w:before="0" w:after="180" w:line="276" w:lineRule="auto"/>
        <w:ind w:left="0" w:right="0" w:hanging="0"/>
        <w:jc w:val="both"/>
      </w:pPr>
      <w:r>
        <w:rPr>
          <w:rFonts w:ascii="IBM Plex Sans" w:hAnsi="IBM Plex Sans" w:cs="IBM Plex Sans"/>
          <w:color w:val="2C2C2C"/>
          <w:sz w:val="20"/>
          <w:szCs w:val="20"/>
        </w:rPr>
        <w:t xml:space="preserve">Lo que sí sostiene su versión de que la relación siguió viva hasta el 16-07 es su </w:t>
      </w:r>
      <w:r>
        <w:rPr>
          <w:rFonts w:ascii="IBM Plex Sans" w:hAnsi="IBM Plex Sans" w:cs="IBM Plex Sans"/>
          <w:b/>
          <w:color w:val="2C2C2C"/>
          <w:sz w:val="20"/>
          <w:szCs w:val="20"/>
        </w:rPr>
        <w:t xml:space="preserve">propio reclamo ante la DT</w:t>
      </w:r>
      <w:r>
        <w:rPr>
          <w:rFonts w:ascii="IBM Plex Sans" w:hAnsi="IBM Plex Sans" w:cs="IBM Plex Sans"/>
          <w:color w:val="2C2C2C"/>
          <w:sz w:val="20"/>
          <w:szCs w:val="20"/>
        </w:rPr>
        <w:t xml:space="preserve"> y el </w:t>
      </w:r>
      <w:r>
        <w:rPr>
          <w:rFonts w:ascii="IBM Plex Sans" w:hAnsi="IBM Plex Sans" w:cs="IBM Plex Sans"/>
          <w:b/>
          <w:color w:val="2C2C2C"/>
          <w:sz w:val="20"/>
          <w:szCs w:val="20"/>
        </w:rPr>
        <w:t xml:space="preserve">hecho objetivo de que las cotizaciones de julio no están pagadas</w:t>
      </w:r>
      <w:r>
        <w:rPr>
          <w:rFonts w:ascii="IBM Plex Sans" w:hAnsi="IBM Plex Sans" w:cs="IBM Plex Sans"/>
          <w:color w:val="2C2C2C"/>
          <w:sz w:val="20"/>
          <w:szCs w:val="20"/>
        </w:rPr>
        <w:t xml:space="preserve">.</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24" w:space="0" w:color="0C2649"/>
              <w:bottom w:val="nil"/>
              <w:right w:val="nil"/>
            </w:tcBorders>
            <w:shd w:val="clear" w:color="auto" w:fill="E6EAF1"/>
            <w:tcMar>
              <w:top w:w="180" w:type="dxa"/>
              <w:left w:w="220" w:type="dxa"/>
              <w:bottom w:w="180" w:type="dxa"/>
              <w:right w:w="220" w:type="dxa"/>
            </w:tcMar>
            <w:vAlign w:val="top"/>
          </w:tcPr>
          <w:p>
            <w:pPr>
              <w:keepLines/>
              <w:spacing w:before="0" w:after="0" w:line="265" w:lineRule="auto"/>
              <w:ind w:left="0" w:right="0" w:hanging="0"/>
              <w:jc w:val="both"/>
            </w:pPr>
            <w:r>
              <w:rPr>
                <w:rFonts w:ascii="IBM Plex Sans" w:hAnsi="IBM Plex Sans" w:cs="IBM Plex Sans"/>
                <w:b/>
                <w:color w:val="0C2649"/>
                <w:sz w:val="19"/>
                <w:szCs w:val="19"/>
              </w:rPr>
              <w:t xml:space="preserve">En síntesis: </w:t>
            </w:r>
            <w:r>
              <w:rPr>
                <w:rFonts w:ascii="IBM Plex Sans" w:hAnsi="IBM Plex Sans" w:cs="IBM Plex Sans"/>
                <w:color w:val="1A1A1A"/>
                <w:sz w:val="19"/>
                <w:szCs w:val="19"/>
              </w:rPr>
              <w:t xml:space="preserve">hoy PIVEXA </w:t>
            </w:r>
            <w:r>
              <w:rPr>
                <w:rFonts w:ascii="IBM Plex Sans" w:hAnsi="IBM Plex Sans" w:cs="IBM Plex Sans"/>
                <w:b/>
                <w:color w:val="1A1A1A"/>
                <w:sz w:val="19"/>
                <w:szCs w:val="19"/>
              </w:rPr>
              <w:t xml:space="preserve">no tiene un finiquito oponible</w:t>
            </w:r>
            <w:r>
              <w:rPr>
                <w:rFonts w:ascii="IBM Plex Sans" w:hAnsi="IBM Plex Sans" w:cs="IBM Plex Sans"/>
                <w:color w:val="1A1A1A"/>
                <w:sz w:val="19"/>
                <w:szCs w:val="19"/>
              </w:rPr>
              <w:t xml:space="preserve">. El objetivo del comparendo es precisamente fabricar uno válido —ratificado y pagado— aprovechando que el conciliador es ministro de fe.</w:t>
            </w:r>
          </w:p>
        </w:tc>
      </w:tr>
    </w:tbl>
    <w:p>
      <w:pPr>
        <w:spacing w:before="0" w:after="400" w:line="20" w:lineRule="exact"/>
      </w:pPr>
    </w:p>
    <w:p>
      <w:pPr>
        <w:keepNext/>
        <w:keepLines/>
        <w:spacing w:before="0" w:after="0" w:line="260" w:lineRule="auto"/>
        <w:ind w:left="0" w:right="0" w:hanging="0"/>
      </w:pPr>
      <w:r>
        <w:rPr>
          <w:rFonts w:ascii="IBM Plex Serif" w:hAnsi="IBM Plex Serif" w:cs="IBM Plex Serif"/>
          <w:b/>
          <w:color w:val="F20530"/>
          <w:sz w:val="20"/>
          <w:szCs w:val="20"/>
        </w:rPr>
        <w:t xml:space="preserve">04   </w:t>
      </w:r>
      <w:r>
        <w:rPr>
          <w:rFonts w:ascii="IBM Plex Serif" w:hAnsi="IBM Plex Serif" w:cs="IBM Plex Serif"/>
          <w:b/>
          <w:color w:val="0C2649"/>
          <w:sz w:val="28"/>
          <w:szCs w:val="28"/>
        </w:rPr>
        <w:t xml:space="preserve">El riesgo central: la nulidad del despido (Ley Bustos)</w:t>
      </w:r>
    </w:p>
    <w:p>
      <w:pPr>
        <w:keepNext/>
        <w:pBdr>
          <w:bottom w:val="single" w:sz="12" w:space="4" w:color="0C2649"/>
        </w:pBdr>
        <w:spacing w:before="0" w:after="200" w:line="20" w:lineRule="exact"/>
      </w:pPr>
    </w:p>
    <w:p>
      <w:pPr>
        <w:keepNext/>
        <w:keepLines/>
        <w:spacing w:before="0" w:after="180" w:line="276" w:lineRule="auto"/>
        <w:ind w:left="0" w:right="0" w:hanging="0"/>
        <w:jc w:val="both"/>
      </w:pPr>
      <w:r>
        <w:rPr>
          <w:rFonts w:ascii="IBM Plex Sans" w:hAnsi="IBM Plex Sans" w:cs="IBM Plex Sans"/>
          <w:color w:val="2C2C2C"/>
          <w:sz w:val="20"/>
          <w:szCs w:val="20"/>
        </w:rPr>
        <w:t xml:space="preserve">Es la única exposición que puede volverse catastrófica, y todo el diseño de la estrategia gira en torno a evitarla.</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980"/>
        <w:gridCol w:w="120"/>
        <w:gridCol w:w="4980"/>
      </w:tblGrid>
      <w:tr>
        <w:trPr>
          <w:cantSplit/>
        </w:trPr>
        <w:tc>
          <w:tcPr>
            <w:tcW w:w="4980" w:type="dxa"/>
            <w:tcBorders>
              <w:top w:val="nil"/>
              <w:left w:val="single" w:sz="18" w:space="0" w:color="F20530"/>
              <w:bottom w:val="nil"/>
              <w:right w:val="nil"/>
            </w:tcBorders>
            <w:shd w:val="clear" w:color="auto" w:fill="F7F8FA"/>
            <w:tcMar>
              <w:top w:w="170" w:type="dxa"/>
              <w:left w:w="200" w:type="dxa"/>
              <w:bottom w:w="170" w:type="dxa"/>
              <w:right w:w="180" w:type="dxa"/>
            </w:tcMar>
            <w:vAlign w:val="top"/>
          </w:tcPr>
          <w:p>
            <w:pPr>
              <w:keepNext/>
              <w:keepLines/>
              <w:spacing w:before="0" w:after="80" w:line="230" w:lineRule="auto"/>
              <w:ind w:left="0" w:right="0" w:hanging="0"/>
            </w:pPr>
            <w:r>
              <w:rPr>
                <w:rFonts w:ascii="IBM Plex Sans" w:hAnsi="IBM Plex Sans" w:cs="IBM Plex Sans"/>
                <w:b/>
                <w:caps/>
                <w:spacing w:val="24"/>
                <w:color w:val="F20530"/>
                <w:sz w:val="15"/>
                <w:szCs w:val="15"/>
              </w:rPr>
              <w:t xml:space="preserve">Qué es</w:t>
            </w:r>
          </w:p>
          <w:p>
            <w:pPr>
              <w:keepLines/>
              <w:spacing w:before="0" w:after="0" w:line="258" w:lineRule="auto"/>
              <w:ind w:left="0" w:right="0" w:hanging="0"/>
              <w:jc w:val="both"/>
            </w:pPr>
            <w:r>
              <w:rPr>
                <w:rFonts w:ascii="IBM Plex Sans" w:hAnsi="IBM Plex Sans" w:cs="IBM Plex Sans"/>
                <w:color w:val="2C2C2C"/>
                <w:sz w:val="18"/>
                <w:szCs w:val="18"/>
              </w:rPr>
              <w:t xml:space="preserve">Si al terminar el contrato las cotizaciones no están íntegramente pagadas, el despido no produce el efecto de poner término y el empleador debe </w:t>
            </w:r>
            <w:r>
              <w:rPr>
                <w:rFonts w:ascii="IBM Plex Sans" w:hAnsi="IBM Plex Sans" w:cs="IBM Plex Sans"/>
                <w:b/>
                <w:color w:val="0C2649"/>
                <w:sz w:val="18"/>
                <w:szCs w:val="18"/>
              </w:rPr>
              <w:t xml:space="preserve">seguir pagando remuneraciones</w:t>
            </w:r>
            <w:r>
              <w:rPr>
                <w:rFonts w:ascii="IBM Plex Sans" w:hAnsi="IBM Plex Sans" w:cs="IBM Plex Sans"/>
                <w:color w:val="2C2C2C"/>
                <w:sz w:val="18"/>
                <w:szCs w:val="18"/>
              </w:rPr>
              <w:t xml:space="preserve"> hasta que pague las cotizaciones y lo comunique a la trabajadora (convalidación). Puede acumular millones si el juicio se prolonga.</w:t>
            </w:r>
          </w:p>
        </w:tc>
        <w:tc>
          <w:tcPr>
            <w:tcW w:w="1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4980" w:type="dxa"/>
            <w:tcBorders>
              <w:top w:val="nil"/>
              <w:left w:val="single" w:sz="18" w:space="0" w:color="0C2649"/>
              <w:bottom w:val="nil"/>
              <w:right w:val="nil"/>
            </w:tcBorders>
            <w:shd w:val="clear" w:color="auto" w:fill="F7F8FA"/>
            <w:tcMar>
              <w:top w:w="170" w:type="dxa"/>
              <w:left w:w="200" w:type="dxa"/>
              <w:bottom w:w="170" w:type="dxa"/>
              <w:right w:w="180" w:type="dxa"/>
            </w:tcMar>
            <w:vAlign w:val="top"/>
          </w:tcPr>
          <w:p>
            <w:pPr>
              <w:keepNext/>
              <w:keepLines/>
              <w:spacing w:before="0" w:after="80" w:line="230" w:lineRule="auto"/>
              <w:ind w:left="0" w:right="0" w:hanging="0"/>
            </w:pPr>
            <w:r>
              <w:rPr>
                <w:rFonts w:ascii="IBM Plex Sans" w:hAnsi="IBM Plex Sans" w:cs="IBM Plex Sans"/>
                <w:b/>
                <w:caps/>
                <w:spacing w:val="24"/>
                <w:color w:val="0C2649"/>
                <w:sz w:val="15"/>
                <w:szCs w:val="15"/>
              </w:rPr>
              <w:t xml:space="preserve">La buena noticia — no aplica al mutuo acuerdo</w:t>
            </w:r>
          </w:p>
          <w:p>
            <w:pPr>
              <w:keepLines/>
              <w:spacing w:before="0" w:after="0" w:line="258" w:lineRule="auto"/>
              <w:ind w:left="0" w:right="0" w:hanging="0"/>
              <w:jc w:val="both"/>
            </w:pPr>
            <w:r>
              <w:rPr>
                <w:rFonts w:ascii="IBM Plex Sans" w:hAnsi="IBM Plex Sans" w:cs="IBM Plex Sans"/>
                <w:color w:val="2C2C2C"/>
                <w:sz w:val="18"/>
                <w:szCs w:val="18"/>
              </w:rPr>
              <w:t xml:space="preserve">La sanción del Art. 162 alcanza a las causales del Art. 159 N°4, 5 y 6 y del Art. 161, pero </w:t>
            </w:r>
            <w:r>
              <w:rPr>
                <w:rFonts w:ascii="IBM Plex Sans" w:hAnsi="IBM Plex Sans" w:cs="IBM Plex Sans"/>
                <w:b/>
                <w:color w:val="0C2649"/>
                <w:sz w:val="18"/>
                <w:szCs w:val="18"/>
              </w:rPr>
              <w:t xml:space="preserve">no se aplica a la renuncia ni al mutuo acuerdo (Art. 159 N°1 y 2)</w:t>
            </w:r>
            <w:r>
              <w:rPr>
                <w:rFonts w:ascii="IBM Plex Sans" w:hAnsi="IBM Plex Sans" w:cs="IBM Plex Sans"/>
                <w:color w:val="2C2C2C"/>
                <w:sz w:val="18"/>
                <w:szCs w:val="18"/>
              </w:rPr>
              <w:t xml:space="preserve">. Si la salida se sostiene como mutuo acuerdo, la nulidad del despido </w:t>
            </w:r>
            <w:r>
              <w:rPr>
                <w:rFonts w:ascii="IBM Plex Sans" w:hAnsi="IBM Plex Sans" w:cs="IBM Plex Sans"/>
                <w:b/>
                <w:color w:val="0C2649"/>
                <w:sz w:val="18"/>
                <w:szCs w:val="18"/>
              </w:rPr>
              <w:t xml:space="preserve">queda descartada</w:t>
            </w:r>
            <w:r>
              <w:rPr>
                <w:rFonts w:ascii="IBM Plex Sans" w:hAnsi="IBM Plex Sans" w:cs="IBM Plex Sans"/>
                <w:color w:val="2C2C2C"/>
                <w:sz w:val="18"/>
                <w:szCs w:val="18"/>
              </w:rPr>
              <w:t xml:space="preserve">, aun cuando las cotizaciones de julio estén pendientes.</w:t>
            </w:r>
          </w:p>
        </w:tc>
      </w:tr>
    </w:tbl>
    <w:p>
      <w:pPr>
        <w:spacing w:before="0" w:after="16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0C2649"/>
            <w:tcMar>
              <w:top w:w="180" w:type="dxa"/>
              <w:left w:w="220" w:type="dxa"/>
              <w:bottom w:w="180" w:type="dxa"/>
              <w:right w:w="220" w:type="dxa"/>
            </w:tcMar>
            <w:vAlign w:val="top"/>
          </w:tcPr>
          <w:p>
            <w:pPr>
              <w:keepLines/>
              <w:spacing w:before="0" w:after="0" w:line="265" w:lineRule="auto"/>
              <w:ind w:left="0" w:right="0" w:hanging="0"/>
              <w:jc w:val="both"/>
            </w:pPr>
            <w:r>
              <w:rPr>
                <w:rFonts w:ascii="IBM Plex Sans" w:hAnsi="IBM Plex Sans" w:cs="IBM Plex Sans"/>
                <w:b/>
                <w:color w:val="F20530"/>
                <w:sz w:val="19"/>
                <w:szCs w:val="19"/>
              </w:rPr>
              <w:t xml:space="preserve">Traducción estratégica: </w:t>
            </w:r>
            <w:r>
              <w:rPr>
                <w:rFonts w:ascii="IBM Plex Sans" w:hAnsi="IBM Plex Sans" w:cs="IBM Plex Sans"/>
                <w:color w:val="FFFFFF"/>
                <w:sz w:val="19"/>
                <w:szCs w:val="19"/>
              </w:rPr>
              <w:t xml:space="preserve">el mutuo acuerdo </w:t>
            </w:r>
            <w:r>
              <w:rPr>
                <w:rFonts w:ascii="IBM Plex Sans" w:hAnsi="IBM Plex Sans" w:cs="IBM Plex Sans"/>
                <w:b/>
                <w:color w:val="C5E3EF"/>
                <w:sz w:val="19"/>
                <w:szCs w:val="19"/>
              </w:rPr>
              <w:t xml:space="preserve">ratificado y pagado</w:t>
            </w:r>
            <w:r>
              <w:rPr>
                <w:rFonts w:ascii="IBM Plex Sans" w:hAnsi="IBM Plex Sans" w:cs="IBM Plex Sans"/>
                <w:color w:val="FFFFFF"/>
                <w:sz w:val="19"/>
                <w:szCs w:val="19"/>
              </w:rPr>
              <w:t xml:space="preserve"> es el cortafuegos. Cualquier causal que abra la puerta a recalificación (abandono) o que caiga dentro del régimen del Art. 162 (necesidades de la empresa) reintroduce el peor riesgo.</w:t>
            </w:r>
          </w:p>
        </w:tc>
      </w:tr>
    </w:tbl>
    <w:p>
      <w:pPr>
        <w:spacing w:before="0" w:after="400" w:line="20" w:lineRule="exact"/>
      </w:pPr>
    </w:p>
    <w:p>
      <w:pPr>
        <w:keepNext/>
        <w:keepLines/>
        <w:spacing w:before="0" w:after="0" w:line="260" w:lineRule="auto"/>
        <w:ind w:left="0" w:right="0" w:hanging="0"/>
      </w:pPr>
      <w:r>
        <w:rPr>
          <w:rFonts w:ascii="IBM Plex Serif" w:hAnsi="IBM Plex Serif" w:cs="IBM Plex Serif"/>
          <w:b/>
          <w:color w:val="F20530"/>
          <w:sz w:val="20"/>
          <w:szCs w:val="20"/>
        </w:rPr>
        <w:t xml:space="preserve">05   </w:t>
      </w:r>
      <w:r>
        <w:rPr>
          <w:rFonts w:ascii="IBM Plex Serif" w:hAnsi="IBM Plex Serif" w:cs="IBM Plex Serif"/>
          <w:b/>
          <w:color w:val="0C2649"/>
          <w:sz w:val="28"/>
          <w:szCs w:val="28"/>
        </w:rPr>
        <w:t xml:space="preserve">Escenarios posibles</w:t>
      </w:r>
    </w:p>
    <w:p>
      <w:pPr>
        <w:keepNext/>
        <w:pBdr>
          <w:bottom w:val="single" w:sz="12" w:space="4" w:color="0C2649"/>
        </w:pBdr>
        <w:spacing w:before="0" w:after="20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0C2649"/>
            <w:tcMar>
              <w:top w:w="140" w:type="dxa"/>
              <w:left w:w="210" w:type="dxa"/>
              <w:bottom w:w="140" w:type="dxa"/>
              <w:right w:w="210" w:type="dxa"/>
            </w:tcMar>
            <w:vAlign w:val="top"/>
          </w:tcPr>
          <w:tbl>
            <w:tblPr>
              <w:tblW w:w="966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8260"/>
              <w:gridCol w:w="1400"/>
            </w:tblGrid>
            <w:tr>
              <w:trPr>
                <w:cantSplit/>
              </w:trPr>
              <w:tc>
                <w:tcPr>
                  <w:tcW w:w="8260" w:type="dxa"/>
                  <w:tcBorders>
                    <w:top w:val="nil"/>
                    <w:left w:val="nil"/>
                    <w:bottom w:val="nil"/>
                    <w:right w:val="nil"/>
                  </w:tcBorders>
                  <w:tcMar>
                    <w:top w:w="0" w:type="dxa"/>
                    <w:left w:w="0" w:type="dxa"/>
                    <w:bottom w:w="0" w:type="dxa"/>
                    <w:right w:w="0" w:type="dxa"/>
                  </w:tcMar>
                  <w:vAlign w:val="center"/>
                </w:tcPr>
                <w:p>
                  <w:pPr>
                    <w:keepLines/>
                    <w:spacing w:before="0" w:after="0" w:line="250" w:lineRule="auto"/>
                    <w:ind w:left="0" w:right="0" w:hanging="0"/>
                  </w:pPr>
                  <w:r>
                    <w:rPr>
                      <w:rFonts w:ascii="IBM Plex Serif" w:hAnsi="IBM Plex Serif" w:cs="IBM Plex Serif"/>
                      <w:b/>
                      <w:color w:val="F20530"/>
                      <w:sz w:val="22"/>
                      <w:szCs w:val="22"/>
                    </w:rPr>
                    <w:t xml:space="preserve">A</w:t>
                  </w:r>
                  <w:r>
                    <w:rPr>
                      <w:rFonts w:ascii="IBM Plex Sans" w:hAnsi="IBM Plex Sans" w:cs="IBM Plex Sans"/>
                      <w:b/>
                      <w:color w:val="FFFFFF"/>
                      <w:sz w:val="20"/>
                      <w:szCs w:val="20"/>
                    </w:rPr>
                    <w:t xml:space="preserve">   Acuerdo en conciliación, mutuo acuerdo al 16-07</w:t>
                  </w:r>
                </w:p>
              </w:tc>
              <w:tc>
                <w:tcPr>
                  <w:tcW w:w="1400" w:type="dxa"/>
                  <w:tcBorders>
                    <w:top w:val="nil"/>
                    <w:left w:val="nil"/>
                    <w:bottom w:val="nil"/>
                    <w:right w:val="nil"/>
                  </w:tcBorders>
                  <w:shd w:val="clear" w:color="auto" w:fill="FFFFFF"/>
                  <w:tcMar>
                    <w:top w:w="50" w:type="dxa"/>
                    <w:left w:w="40" w:type="dxa"/>
                    <w:bottom w:w="50" w:type="dxa"/>
                    <w:right w:w="40" w:type="dxa"/>
                  </w:tcMar>
                  <w:vAlign w:val="center"/>
                </w:tcPr>
                <w:p>
                  <w:pPr>
                    <w:keepLines/>
                    <w:spacing w:before="0" w:after="0" w:line="220" w:lineRule="auto"/>
                    <w:ind w:left="0" w:right="0" w:hanging="0"/>
                    <w:jc w:val="center"/>
                  </w:pPr>
                  <w:r>
                    <w:rPr>
                      <w:rFonts w:ascii="IBM Plex Sans" w:hAnsi="IBM Plex Sans" w:cs="IBM Plex Sans"/>
                      <w:b/>
                      <w:spacing w:val="20"/>
                      <w:color w:val="0C2649"/>
                      <w:sz w:val="14"/>
                      <w:szCs w:val="14"/>
                    </w:rPr>
                    <w:t xml:space="preserve">RECOMENDADO</w:t>
                  </w:r>
                </w:p>
              </w:tc>
            </w:tr>
          </w:tbl>
        </w:tc>
      </w:tr>
      <w:tr>
        <w:trPr>
          <w:cantSplit/>
        </w:trPr>
        <w:tc>
          <w:tcPr>
            <w:tcW w:w="10080" w:type="dxa"/>
            <w:tcBorders>
              <w:top w:val="nil"/>
              <w:left w:val="single" w:sz="24" w:space="0" w:color="0C2649"/>
              <w:bottom w:val="single" w:sz="24" w:space="0" w:color="0C2649"/>
              <w:right w:val="single" w:sz="24" w:space="0" w:color="0C2649"/>
            </w:tcBorders>
            <w:tcMar>
              <w:top w:w="170" w:type="dxa"/>
              <w:left w:w="210" w:type="dxa"/>
              <w:bottom w:w="170" w:type="dxa"/>
              <w:right w:w="210" w:type="dxa"/>
            </w:tcMar>
            <w:vAlign w:val="top"/>
          </w:tcPr>
          <w:p>
            <w:pPr>
              <w:keepLines/>
              <w:spacing w:before="0" w:after="100" w:line="265" w:lineRule="auto"/>
              <w:ind w:left="0" w:right="0" w:hanging="0"/>
              <w:jc w:val="both"/>
            </w:pPr>
            <w:r>
              <w:rPr>
                <w:rFonts w:ascii="IBM Plex Sans" w:hAnsi="IBM Plex Sans" w:cs="IBM Plex Sans"/>
                <w:color w:val="2C2C2C"/>
                <w:sz w:val="19"/>
                <w:szCs w:val="19"/>
              </w:rPr>
              <w:t xml:space="preserve">PIVEXA reconoce término al 16-07, paga los 16 días de julio + feriado proporcional, regulariza cotizaciones de julio y firma finiquito de mutuo acuerdo </w:t>
            </w:r>
            <w:r>
              <w:rPr>
                <w:rFonts w:ascii="IBM Plex Sans" w:hAnsi="IBM Plex Sans" w:cs="IBM Plex Sans"/>
                <w:b/>
                <w:color w:val="0C2649"/>
                <w:sz w:val="19"/>
                <w:szCs w:val="19"/>
              </w:rPr>
              <w:t xml:space="preserve">ratificado ante el conciliador</w:t>
            </w:r>
            <w:r>
              <w:rPr>
                <w:rFonts w:ascii="IBM Plex Sans" w:hAnsi="IBM Plex Sans" w:cs="IBM Plex Sans"/>
                <w:color w:val="2C2C2C"/>
                <w:sz w:val="19"/>
                <w:szCs w:val="19"/>
              </w:rPr>
              <w:t xml:space="preserve"> (ministro de fe) y pagado. La trabajadora desiste; el reclamo se cierra con poder liberatorio. </w:t>
            </w:r>
            <w:r>
              <w:rPr>
                <w:rFonts w:ascii="IBM Plex Sans" w:hAnsi="IBM Plex Sans" w:cs="IBM Plex Sans"/>
                <w:b/>
                <w:color w:val="0C2649"/>
                <w:sz w:val="19"/>
                <w:szCs w:val="19"/>
              </w:rPr>
              <w:t xml:space="preserve">Sin nulidad, sin multas, sin juicio.</w:t>
            </w:r>
            <w:r>
              <w:rPr>
                <w:rFonts w:ascii="IBM Plex Sans" w:hAnsi="IBM Plex Sans" w:cs="IBM Plex Sans"/>
                <w:color w:val="2C2C2C"/>
                <w:sz w:val="19"/>
                <w:szCs w:val="19"/>
              </w:rPr>
              <w:t xml:space="preserve"> Es el resultado natural del comparendo y el más barato.</w:t>
            </w:r>
          </w:p>
          <w:p>
            <w:pPr>
              <w:keepLines/>
              <w:spacing w:before="0" w:after="0" w:line="250" w:lineRule="auto"/>
              <w:ind w:left="0" w:right="0" w:hanging="0"/>
            </w:pPr>
            <w:r>
              <w:rPr>
                <w:rFonts w:ascii="IBM Plex Sans" w:hAnsi="IBM Plex Sans" w:cs="IBM Plex Sans"/>
                <w:b/>
                <w:color w:val="0C2649"/>
                <w:sz w:val="19"/>
                <w:szCs w:val="19"/>
              </w:rPr>
              <w:t xml:space="preserve">Consecuencia: ~$1,0–1,1 M, caso cerrado.</w:t>
            </w:r>
          </w:p>
        </w:tc>
      </w:tr>
    </w:tbl>
    <w:p>
      <w:pPr>
        <w:spacing w:before="0" w:after="18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18" w:space="0" w:color="6B7280"/>
              <w:bottom w:val="nil"/>
              <w:right w:val="nil"/>
            </w:tcBorders>
            <w:shd w:val="clear" w:color="auto" w:fill="F7F8FA"/>
            <w:tcMar>
              <w:top w:w="180" w:type="dxa"/>
              <w:left w:w="220" w:type="dxa"/>
              <w:bottom w:w="180" w:type="dxa"/>
              <w:right w:w="220" w:type="dxa"/>
            </w:tcMar>
            <w:vAlign w:val="top"/>
          </w:tcPr>
          <w:p>
            <w:pPr>
              <w:keepLines/>
              <w:spacing w:before="0" w:after="90" w:line="250" w:lineRule="auto"/>
              <w:ind w:left="0" w:right="0" w:hanging="0"/>
            </w:pPr>
            <w:r>
              <w:rPr>
                <w:rFonts w:ascii="IBM Plex Serif" w:hAnsi="IBM Plex Serif" w:cs="IBM Plex Serif"/>
                <w:b/>
                <w:color w:val="F20530"/>
                <w:sz w:val="22"/>
                <w:szCs w:val="22"/>
              </w:rPr>
              <w:t xml:space="preserve">B</w:t>
            </w:r>
            <w:r>
              <w:rPr>
                <w:rFonts w:ascii="IBM Plex Sans" w:hAnsi="IBM Plex Sans" w:cs="IBM Plex Sans"/>
                <w:b/>
                <w:color w:val="0C2649"/>
                <w:sz w:val="20"/>
                <w:szCs w:val="20"/>
              </w:rPr>
              <w:t xml:space="preserve">   Sostener el término al 30-06</w:t>
            </w:r>
          </w:p>
          <w:p>
            <w:pPr>
              <w:keepLines/>
              <w:spacing w:before="0" w:after="90" w:line="265" w:lineRule="auto"/>
              <w:ind w:left="0" w:right="0" w:hanging="0"/>
              <w:jc w:val="both"/>
            </w:pPr>
            <w:r>
              <w:rPr>
                <w:rFonts w:ascii="IBM Plex Sans" w:hAnsi="IBM Plex Sans" w:cs="IBM Plex Sans"/>
                <w:color w:val="2C2C2C"/>
                <w:sz w:val="19"/>
                <w:szCs w:val="19"/>
              </w:rPr>
              <w:t xml:space="preserve">Insistir en que la relación terminó el 30-06 y que julio no se debe. Problema: el finiquito del 30-06 no es oponible, la trabajadora ya declaró que trabajó/estuvo disponible del 1 al 16. Alta probabilidad de </w:t>
            </w:r>
            <w:r>
              <w:rPr>
                <w:rFonts w:ascii="IBM Plex Sans" w:hAnsi="IBM Plex Sans" w:cs="IBM Plex Sans"/>
                <w:b/>
                <w:color w:val="0C2649"/>
                <w:sz w:val="19"/>
                <w:szCs w:val="19"/>
              </w:rPr>
              <w:t xml:space="preserve">no acuerdo</w:t>
            </w:r>
            <w:r>
              <w:rPr>
                <w:rFonts w:ascii="IBM Plex Sans" w:hAnsi="IBM Plex Sans" w:cs="IBM Plex Sans"/>
                <w:color w:val="2C2C2C"/>
                <w:sz w:val="19"/>
                <w:szCs w:val="19"/>
              </w:rPr>
              <w:t xml:space="preserve"> y de que ella demande.</w:t>
            </w:r>
          </w:p>
          <w:p>
            <w:pPr>
              <w:keepLines/>
              <w:spacing w:before="0" w:after="0" w:line="250" w:lineRule="auto"/>
              <w:ind w:left="0" w:right="0" w:hanging="0"/>
            </w:pPr>
            <w:r>
              <w:rPr>
                <w:rFonts w:ascii="IBM Plex Sans" w:hAnsi="IBM Plex Sans" w:cs="IBM Plex Sans"/>
                <w:b/>
                <w:color w:val="F20530"/>
                <w:sz w:val="19"/>
                <w:szCs w:val="19"/>
              </w:rPr>
              <w:t xml:space="preserve">Consecuencia: se ahorra ~$0,5 M hoy pero se abre el Escenario C. No recomendado.</w:t>
            </w:r>
          </w:p>
        </w:tc>
      </w:tr>
    </w:tbl>
    <w:p>
      <w:pPr>
        <w:spacing w:before="0" w:after="18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18" w:space="0" w:color="F20530"/>
              <w:bottom w:val="nil"/>
              <w:right w:val="nil"/>
            </w:tcBorders>
            <w:shd w:val="clear" w:color="auto" w:fill="FFF0F2"/>
            <w:tcMar>
              <w:top w:w="180" w:type="dxa"/>
              <w:left w:w="220" w:type="dxa"/>
              <w:bottom w:w="180" w:type="dxa"/>
              <w:right w:w="220" w:type="dxa"/>
            </w:tcMar>
            <w:vAlign w:val="top"/>
          </w:tcPr>
          <w:p>
            <w:pPr>
              <w:keepLines/>
              <w:spacing w:before="0" w:after="90" w:line="250" w:lineRule="auto"/>
              <w:ind w:left="0" w:right="0" w:hanging="0"/>
            </w:pPr>
            <w:r>
              <w:rPr>
                <w:rFonts w:ascii="IBM Plex Serif" w:hAnsi="IBM Plex Serif" w:cs="IBM Plex Serif"/>
                <w:b/>
                <w:color w:val="F20530"/>
                <w:sz w:val="22"/>
                <w:szCs w:val="22"/>
              </w:rPr>
              <w:t xml:space="preserve">C</w:t>
            </w:r>
            <w:r>
              <w:rPr>
                <w:rFonts w:ascii="IBM Plex Sans" w:hAnsi="IBM Plex Sans" w:cs="IBM Plex Sans"/>
                <w:b/>
                <w:color w:val="0C2649"/>
                <w:sz w:val="20"/>
                <w:szCs w:val="20"/>
              </w:rPr>
              <w:t xml:space="preserve">   No hay acuerdo → demanda judicial</w:t>
            </w:r>
          </w:p>
          <w:p>
            <w:pPr>
              <w:keepLines/>
              <w:spacing w:before="0" w:after="0" w:line="265" w:lineRule="auto"/>
              <w:ind w:left="0" w:right="0" w:hanging="0"/>
              <w:jc w:val="both"/>
            </w:pPr>
            <w:r>
              <w:rPr>
                <w:rFonts w:ascii="IBM Plex Sans" w:hAnsi="IBM Plex Sans" w:cs="IBM Plex Sans"/>
                <w:color w:val="2C2C2C"/>
                <w:sz w:val="19"/>
                <w:szCs w:val="19"/>
              </w:rPr>
              <w:t xml:space="preserve">Sin avenimiento, la trabajadora puede demandar en el Juzgado del Trabajo. El peor desenlace es la </w:t>
            </w:r>
            <w:r>
              <w:rPr>
                <w:rFonts w:ascii="IBM Plex Sans" w:hAnsi="IBM Plex Sans" w:cs="IBM Plex Sans"/>
                <w:b/>
                <w:color w:val="0C2649"/>
                <w:sz w:val="19"/>
                <w:szCs w:val="19"/>
              </w:rPr>
              <w:t xml:space="preserve">recalificación como despido + nulidad</w:t>
            </w:r>
            <w:r>
              <w:rPr>
                <w:rFonts w:ascii="IBM Plex Sans" w:hAnsi="IBM Plex Sans" w:cs="IBM Plex Sans"/>
                <w:color w:val="2C2C2C"/>
                <w:sz w:val="19"/>
                <w:szCs w:val="19"/>
              </w:rPr>
              <w:t xml:space="preserve"> (cotizaciones de julio impagas y/o subdeclaración feb–abril): remuneraciones desde el 16-07 hasta la convalidación, más feriado, cotizaciones y costas. Con menos de 1 año de servicio </w:t>
            </w:r>
            <w:r>
              <w:rPr>
                <w:rFonts w:ascii="IBM Plex Sans" w:hAnsi="IBM Plex Sans" w:cs="IBM Plex Sans"/>
                <w:b/>
                <w:color w:val="0C2649"/>
                <w:sz w:val="19"/>
                <w:szCs w:val="19"/>
              </w:rPr>
              <w:t xml:space="preserve">no hay indemnización por años de servicio</w:t>
            </w:r>
            <w:r>
              <w:rPr>
                <w:rFonts w:ascii="IBM Plex Sans" w:hAnsi="IBM Plex Sans" w:cs="IBM Plex Sans"/>
                <w:color w:val="2C2C2C"/>
                <w:sz w:val="19"/>
                <w:szCs w:val="19"/>
              </w:rPr>
              <w:t xml:space="preserve">, pero la nulidad por sí sola es el gran riesgo.</w:t>
            </w:r>
          </w:p>
        </w:tc>
      </w:tr>
    </w:tbl>
    <w:p>
      <w:pPr>
        <w:spacing w:before="0" w:after="18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18" w:space="0" w:color="F20530"/>
              <w:bottom w:val="nil"/>
              <w:right w:val="nil"/>
            </w:tcBorders>
            <w:shd w:val="clear" w:color="auto" w:fill="F7F8FA"/>
            <w:tcMar>
              <w:top w:w="180" w:type="dxa"/>
              <w:left w:w="220" w:type="dxa"/>
              <w:bottom w:w="180" w:type="dxa"/>
              <w:right w:w="220" w:type="dxa"/>
            </w:tcMar>
            <w:vAlign w:val="top"/>
          </w:tcPr>
          <w:p>
            <w:pPr>
              <w:keepLines/>
              <w:spacing w:before="0" w:after="90" w:line="250" w:lineRule="auto"/>
              <w:ind w:left="0" w:right="0" w:hanging="0"/>
            </w:pPr>
            <w:r>
              <w:rPr>
                <w:rFonts w:ascii="IBM Plex Serif" w:hAnsi="IBM Plex Serif" w:cs="IBM Plex Serif"/>
                <w:b/>
                <w:color w:val="F20530"/>
                <w:sz w:val="22"/>
                <w:szCs w:val="22"/>
              </w:rPr>
              <w:t xml:space="preserve">D</w:t>
            </w:r>
            <w:r>
              <w:rPr>
                <w:rFonts w:ascii="IBM Plex Sans" w:hAnsi="IBM Plex Sans" w:cs="IBM Plex Sans"/>
                <w:b/>
                <w:color w:val="0C2649"/>
                <w:sz w:val="20"/>
                <w:szCs w:val="20"/>
              </w:rPr>
              <w:t xml:space="preserve">   Cerrar con causal equivocada</w:t>
            </w:r>
          </w:p>
          <w:p>
            <w:pPr>
              <w:keepLines/>
              <w:spacing w:before="0" w:after="90" w:line="265" w:lineRule="auto"/>
              <w:ind w:left="0" w:right="0" w:hanging="0"/>
              <w:jc w:val="both"/>
            </w:pPr>
            <w:r>
              <w:rPr>
                <w:rFonts w:ascii="IBM Plex Sans" w:hAnsi="IBM Plex Sans" w:cs="IBM Plex Sans"/>
                <w:color w:val="2C2C2C"/>
                <w:sz w:val="19"/>
                <w:szCs w:val="19"/>
              </w:rPr>
              <w:t xml:space="preserve">Usar los borradores de </w:t>
            </w:r>
            <w:r>
              <w:rPr>
                <w:rFonts w:ascii="IBM Plex Sans" w:hAnsi="IBM Plex Sans" w:cs="IBM Plex Sans"/>
                <w:b/>
                <w:color w:val="0C2649"/>
                <w:sz w:val="19"/>
                <w:szCs w:val="19"/>
              </w:rPr>
              <w:t xml:space="preserve">abandono (Art. 160 N°4)</w:t>
            </w:r>
            <w:r>
              <w:rPr>
                <w:rFonts w:ascii="IBM Plex Sans" w:hAnsi="IBM Plex Sans" w:cs="IBM Plex Sans"/>
                <w:color w:val="2C2C2C"/>
                <w:sz w:val="19"/>
                <w:szCs w:val="19"/>
              </w:rPr>
              <w:t xml:space="preserve"> o </w:t>
            </w:r>
            <w:r>
              <w:rPr>
                <w:rFonts w:ascii="IBM Plex Sans" w:hAnsi="IBM Plex Sans" w:cs="IBM Plex Sans"/>
                <w:b/>
                <w:color w:val="0C2649"/>
                <w:sz w:val="19"/>
                <w:szCs w:val="19"/>
              </w:rPr>
              <w:t xml:space="preserve">necesidades de la empresa (Art. 161)</w:t>
            </w:r>
            <w:r>
              <w:rPr>
                <w:rFonts w:ascii="IBM Plex Sans" w:hAnsi="IBM Plex Sans" w:cs="IBM Plex Sans"/>
                <w:color w:val="2C2C2C"/>
                <w:sz w:val="19"/>
                <w:szCs w:val="19"/>
              </w:rPr>
              <w:t xml:space="preserve"> en lugar del mutuo acuerdo:</w:t>
            </w:r>
          </w:p>
          <w:p>
            <w:pPr>
              <w:keepLines/>
              <w:tabs>
                <w:tab w:val="left" w:pos="300"/>
              </w:tabs>
              <w:spacing w:before="0" w:after="90" w:line="276" w:lineRule="auto"/>
              <w:ind w:left="300" w:right="0" w:hanging="300"/>
              <w:jc w:val="both"/>
            </w:pPr>
            <w:r>
              <w:rPr>
                <w:rFonts w:ascii="IBM Plex Sans" w:hAnsi="IBM Plex Sans" w:cs="IBM Plex Sans"/>
                <w:b/>
                <w:color w:val="F20530"/>
                <w:sz w:val="19"/>
                <w:szCs w:val="19"/>
              </w:rPr>
              <w:t xml:space="preserve">—</w:t>
            </w:r>
            <w:r>
              <w:rPr>
                <w:rFonts w:ascii="IBM Plex Sans" w:hAnsi="IBM Plex Sans" w:cs="IBM Plex Sans"/>
                <w:color w:val="2C2C2C"/>
                <w:sz w:val="20"/>
                <w:szCs w:val="20"/>
              </w:rPr>
              <w:t xml:space="preserve">	</w:t>
            </w:r>
            <w:r>
              <w:rPr>
                <w:rFonts w:ascii="IBM Plex Sans" w:hAnsi="IBM Plex Sans" w:cs="IBM Plex Sans"/>
                <w:b/>
                <w:color w:val="0C2649"/>
                <w:sz w:val="19"/>
                <w:szCs w:val="19"/>
              </w:rPr>
              <w:t xml:space="preserve">Abandono:</w:t>
            </w:r>
            <w:r>
              <w:rPr>
                <w:rFonts w:ascii="IBM Plex Sans" w:hAnsi="IBM Plex Sans" w:cs="IBM Plex Sans"/>
                <w:color w:val="2C2C2C"/>
                <w:sz w:val="19"/>
                <w:szCs w:val="19"/>
              </w:rPr>
              <w:t xml:space="preserve"> causal disciplinaria y controvertible; la trabajadora la impugnará, convierte la conciliación en litigio y, si pierde la recalificación, se cae al Escenario C.</w:t>
            </w:r>
          </w:p>
          <w:p>
            <w:pPr>
              <w:keepLines/>
              <w:tabs>
                <w:tab w:val="left" w:pos="300"/>
              </w:tabs>
              <w:spacing w:before="0" w:after="90" w:line="276" w:lineRule="auto"/>
              <w:ind w:left="300" w:right="0" w:hanging="300"/>
              <w:jc w:val="both"/>
            </w:pPr>
            <w:r>
              <w:rPr>
                <w:rFonts w:ascii="IBM Plex Sans" w:hAnsi="IBM Plex Sans" w:cs="IBM Plex Sans"/>
                <w:b/>
                <w:color w:val="F20530"/>
                <w:sz w:val="19"/>
                <w:szCs w:val="19"/>
              </w:rPr>
              <w:t xml:space="preserve">—</w:t>
            </w:r>
            <w:r>
              <w:rPr>
                <w:rFonts w:ascii="IBM Plex Sans" w:hAnsi="IBM Plex Sans" w:cs="IBM Plex Sans"/>
                <w:color w:val="2C2C2C"/>
                <w:sz w:val="20"/>
                <w:szCs w:val="20"/>
              </w:rPr>
              <w:t xml:space="preserve">	</w:t>
            </w:r>
            <w:r>
              <w:rPr>
                <w:rFonts w:ascii="IBM Plex Sans" w:hAnsi="IBM Plex Sans" w:cs="IBM Plex Sans"/>
                <w:b/>
                <w:color w:val="0C2649"/>
                <w:sz w:val="19"/>
                <w:szCs w:val="19"/>
              </w:rPr>
              <w:t xml:space="preserve">Necesidades de la empresa:</w:t>
            </w:r>
            <w:r>
              <w:rPr>
                <w:rFonts w:ascii="IBM Plex Sans" w:hAnsi="IBM Plex Sans" w:cs="IBM Plex Sans"/>
                <w:color w:val="2C2C2C"/>
                <w:sz w:val="19"/>
                <w:szCs w:val="19"/>
              </w:rPr>
              <w:t xml:space="preserve"> agrega </w:t>
            </w:r>
            <w:r>
              <w:rPr>
                <w:rFonts w:ascii="IBM Plex Sans" w:hAnsi="IBM Plex Sans" w:cs="IBM Plex Sans"/>
                <w:b/>
                <w:color w:val="0C2649"/>
                <w:sz w:val="19"/>
                <w:szCs w:val="19"/>
              </w:rPr>
              <w:t xml:space="preserve">$993.430 de aviso previo</w:t>
            </w:r>
            <w:r>
              <w:rPr>
                <w:rFonts w:ascii="IBM Plex Sans" w:hAnsi="IBM Plex Sans" w:cs="IBM Plex Sans"/>
                <w:color w:val="2C2C2C"/>
                <w:sz w:val="19"/>
                <w:szCs w:val="19"/>
              </w:rPr>
              <w:t xml:space="preserve"> sin necesidad y </w:t>
            </w:r>
            <w:r>
              <w:rPr>
                <w:rFonts w:ascii="IBM Plex Sans" w:hAnsi="IBM Plex Sans" w:cs="IBM Plex Sans"/>
                <w:b/>
                <w:color w:val="0C2649"/>
                <w:sz w:val="19"/>
                <w:szCs w:val="19"/>
              </w:rPr>
              <w:t xml:space="preserve">queda dentro del régimen del Art. 162</w:t>
            </w:r>
            <w:r>
              <w:rPr>
                <w:rFonts w:ascii="IBM Plex Sans" w:hAnsi="IBM Plex Sans" w:cs="IBM Plex Sans"/>
                <w:color w:val="2C2C2C"/>
                <w:sz w:val="19"/>
                <w:szCs w:val="19"/>
              </w:rPr>
              <w:t xml:space="preserve"> (nulidad si las cotizaciones no están pagadas). Más caro y más riesgoso.</w:t>
            </w:r>
          </w:p>
          <w:p>
            <w:pPr>
              <w:keepLines/>
              <w:spacing w:before="0" w:after="0" w:line="250" w:lineRule="auto"/>
              <w:ind w:left="0" w:right="0" w:hanging="0"/>
            </w:pPr>
            <w:r>
              <w:rPr>
                <w:rFonts w:ascii="IBM Plex Sans" w:hAnsi="IBM Plex Sans" w:cs="IBM Plex Sans"/>
                <w:b/>
                <w:color w:val="F20530"/>
                <w:sz w:val="19"/>
                <w:szCs w:val="19"/>
              </w:rPr>
              <w:t xml:space="preserve">Consecuencia: pago mayor y/o reapertura del riesgo de nulidad. Ambos borradores deben descartarse.</w:t>
            </w:r>
          </w:p>
        </w:tc>
      </w:tr>
    </w:tbl>
    <w:p>
      <w:pPr>
        <w:spacing w:before="0" w:after="400" w:line="20" w:lineRule="exact"/>
      </w:pPr>
    </w:p>
    <w:p>
      <w:pPr>
        <w:keepNext/>
        <w:keepLines/>
        <w:spacing w:before="0" w:after="0" w:line="260" w:lineRule="auto"/>
        <w:ind w:left="0" w:right="0" w:hanging="0"/>
      </w:pPr>
      <w:r>
        <w:rPr>
          <w:rFonts w:ascii="IBM Plex Serif" w:hAnsi="IBM Plex Serif" w:cs="IBM Plex Serif"/>
          <w:b/>
          <w:color w:val="F20530"/>
          <w:sz w:val="20"/>
          <w:szCs w:val="20"/>
        </w:rPr>
        <w:t xml:space="preserve">06   </w:t>
      </w:r>
      <w:r>
        <w:rPr>
          <w:rFonts w:ascii="IBM Plex Serif" w:hAnsi="IBM Plex Serif" w:cs="IBM Plex Serif"/>
          <w:b/>
          <w:color w:val="0C2649"/>
          <w:sz w:val="28"/>
          <w:szCs w:val="28"/>
        </w:rPr>
        <w:t xml:space="preserve">Cuantificación de desembolsos por escenario</w:t>
      </w:r>
    </w:p>
    <w:p>
      <w:pPr>
        <w:keepNext/>
        <w:pBdr>
          <w:bottom w:val="single" w:sz="12" w:space="4" w:color="0C2649"/>
        </w:pBdr>
        <w:spacing w:before="0" w:after="200" w:line="20" w:lineRule="exact"/>
      </w:pPr>
    </w:p>
    <w:p>
      <w:pPr>
        <w:keepNext/>
        <w:keepLines/>
        <w:spacing w:before="0" w:after="180" w:line="276" w:lineRule="auto"/>
        <w:ind w:left="0" w:right="0" w:hanging="0"/>
        <w:jc w:val="both"/>
      </w:pPr>
      <w:r>
        <w:rPr>
          <w:rFonts w:ascii="IBM Plex Sans" w:hAnsi="IBM Plex Sans" w:cs="IBM Plex Sans"/>
          <w:color w:val="2C2C2C"/>
          <w:sz w:val="20"/>
          <w:szCs w:val="20"/>
        </w:rPr>
        <w:t xml:space="preserve">Base de cálculo: liquidación de junio (imponible $1.169.115 en 30 días; líquido $1.000.000). El sueldo de julio se prorratea 16/30.</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3500"/>
        <w:gridCol w:w="2700"/>
        <w:gridCol w:w="3880"/>
      </w:tblGrid>
      <w:tr>
        <w:trPr>
          <w:cantSplit/>
          <w:tblHeader/>
        </w:trPr>
        <w:tc>
          <w:tcPr>
            <w:tcW w:w="350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left"/>
            </w:pPr>
            <w:r>
              <w:rPr>
                <w:rFonts w:ascii="IBM Plex Sans" w:hAnsi="IBM Plex Sans" w:cs="IBM Plex Sans"/>
                <w:b/>
                <w:color w:val="FFFFFF"/>
                <w:sz w:val="17"/>
                <w:szCs w:val="17"/>
              </w:rPr>
              <w:t xml:space="preserve">Escenario</w:t>
            </w:r>
          </w:p>
        </w:tc>
        <w:tc>
          <w:tcPr>
            <w:tcW w:w="270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left"/>
            </w:pPr>
            <w:r>
              <w:rPr>
                <w:rFonts w:ascii="IBM Plex Sans" w:hAnsi="IBM Plex Sans" w:cs="IBM Plex Sans"/>
                <w:b/>
                <w:color w:val="FFFFFF"/>
                <w:sz w:val="17"/>
                <w:szCs w:val="17"/>
              </w:rPr>
              <w:t xml:space="preserve">Desembolso estimado</w:t>
            </w:r>
          </w:p>
        </w:tc>
        <w:tc>
          <w:tcPr>
            <w:tcW w:w="388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left"/>
            </w:pPr>
            <w:r>
              <w:rPr>
                <w:rFonts w:ascii="IBM Plex Sans" w:hAnsi="IBM Plex Sans" w:cs="IBM Plex Sans"/>
                <w:b/>
                <w:color w:val="FFFFFF"/>
                <w:sz w:val="17"/>
                <w:szCs w:val="17"/>
              </w:rPr>
              <w:t xml:space="preserve">Riesgo residual</w:t>
            </w:r>
          </w:p>
        </w:tc>
      </w:tr>
      <w:tr>
        <w:trPr>
          <w:cantSplit/>
        </w:trPr>
        <w:tc>
          <w:tcPr>
            <w:tcW w:w="3500" w:type="dxa"/>
            <w:tcBorders>
              <w:top w:val="nil"/>
              <w:left w:val="nil"/>
              <w:bottom w:val="single" w:sz="4" w:space="0" w:color="E6EAF1"/>
              <w:right w:val="nil"/>
            </w:tcBorders>
            <w:shd w:val="clear" w:color="auto" w:fill="E6EAF1"/>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b/>
                <w:color w:val="0C2649"/>
                <w:sz w:val="18"/>
                <w:szCs w:val="18"/>
              </w:rPr>
              <w:t xml:space="preserve">A. Mutuo acuerdo 16-07 (acuerdo)</w:t>
            </w:r>
          </w:p>
        </w:tc>
        <w:tc>
          <w:tcPr>
            <w:tcW w:w="2700" w:type="dxa"/>
            <w:tcBorders>
              <w:top w:val="nil"/>
              <w:left w:val="nil"/>
              <w:bottom w:val="single" w:sz="4" w:space="0" w:color="E6EAF1"/>
              <w:right w:val="nil"/>
            </w:tcBorders>
            <w:shd w:val="clear" w:color="auto" w:fill="E6EAF1"/>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b/>
                <w:color w:val="0C2649"/>
                <w:sz w:val="18"/>
                <w:szCs w:val="18"/>
              </w:rPr>
              <w:t xml:space="preserve">~$ 1.087.000</w:t>
            </w:r>
          </w:p>
        </w:tc>
        <w:tc>
          <w:tcPr>
            <w:tcW w:w="3880" w:type="dxa"/>
            <w:tcBorders>
              <w:top w:val="nil"/>
              <w:left w:val="nil"/>
              <w:bottom w:val="single" w:sz="4" w:space="0" w:color="E6EAF1"/>
              <w:right w:val="nil"/>
            </w:tcBorders>
            <w:shd w:val="clear" w:color="auto" w:fill="E6EAF1"/>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Ninguno; caso cerrado con poder liberatorio</w:t>
            </w:r>
          </w:p>
        </w:tc>
      </w:tr>
      <w:tr>
        <w:trPr>
          <w:cantSplit/>
        </w:trPr>
        <w:tc>
          <w:tcPr>
            <w:tcW w:w="35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b/>
                <w:color w:val="0C2649"/>
                <w:sz w:val="18"/>
                <w:szCs w:val="18"/>
              </w:rPr>
              <w:t xml:space="preserve">B. Sostener el 30-06</w:t>
            </w:r>
          </w:p>
        </w:tc>
        <w:tc>
          <w:tcPr>
            <w:tcW w:w="27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$ 261.250 hoy (feriado impago)</w:t>
            </w:r>
          </w:p>
        </w:tc>
        <w:tc>
          <w:tcPr>
            <w:tcW w:w="388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Alto: probable no acuerdo → Escenario C</w:t>
            </w:r>
          </w:p>
        </w:tc>
      </w:tr>
      <w:tr>
        <w:trPr>
          <w:cantSplit/>
        </w:trPr>
        <w:tc>
          <w:tcPr>
            <w:tcW w:w="3500" w:type="dxa"/>
            <w:tcBorders>
              <w:top w:val="nil"/>
              <w:left w:val="nil"/>
              <w:bottom w:val="single" w:sz="4" w:space="0" w:color="E6EAF1"/>
              <w:right w:val="nil"/>
            </w:tcBorders>
            <w:shd w:val="clear" w:color="auto" w:fill="FFF0F2"/>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b/>
                <w:color w:val="0C2649"/>
                <w:sz w:val="18"/>
                <w:szCs w:val="18"/>
              </w:rPr>
              <w:t xml:space="preserve">C. Sin acuerdo → juicio (nulidad)</w:t>
            </w:r>
          </w:p>
        </w:tc>
        <w:tc>
          <w:tcPr>
            <w:tcW w:w="2700" w:type="dxa"/>
            <w:tcBorders>
              <w:top w:val="nil"/>
              <w:left w:val="nil"/>
              <w:bottom w:val="single" w:sz="4" w:space="0" w:color="E6EAF1"/>
              <w:right w:val="nil"/>
            </w:tcBorders>
            <w:shd w:val="clear" w:color="auto" w:fill="FFF0F2"/>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b/>
                <w:color w:val="F20530"/>
                <w:sz w:val="18"/>
                <w:szCs w:val="18"/>
              </w:rPr>
              <w:t xml:space="preserve">$ 3.000.000 – $ 8.000.000</w:t>
            </w:r>
          </w:p>
        </w:tc>
        <w:tc>
          <w:tcPr>
            <w:tcW w:w="3880" w:type="dxa"/>
            <w:tcBorders>
              <w:top w:val="nil"/>
              <w:left w:val="nil"/>
              <w:bottom w:val="single" w:sz="4" w:space="0" w:color="E6EAF1"/>
              <w:right w:val="nil"/>
            </w:tcBorders>
            <w:shd w:val="clear" w:color="auto" w:fill="FFF0F2"/>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Crece hasta la convalidación; + costas</w:t>
            </w:r>
          </w:p>
        </w:tc>
      </w:tr>
      <w:tr>
        <w:trPr>
          <w:cantSplit/>
        </w:trPr>
        <w:tc>
          <w:tcPr>
            <w:tcW w:w="35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b/>
                <w:color w:val="0C2649"/>
                <w:sz w:val="18"/>
                <w:szCs w:val="18"/>
              </w:rPr>
              <w:t xml:space="preserve">D1. Abandono (Art. 160 N°4)</w:t>
            </w:r>
          </w:p>
        </w:tc>
        <w:tc>
          <w:tcPr>
            <w:tcW w:w="27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$ 345.800 + litigio</w:t>
            </w:r>
          </w:p>
        </w:tc>
        <w:tc>
          <w:tcPr>
            <w:tcW w:w="388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Recalificación → Escenario C</w:t>
            </w:r>
          </w:p>
        </w:tc>
      </w:tr>
      <w:tr>
        <w:trPr>
          <w:cantSplit/>
        </w:trPr>
        <w:tc>
          <w:tcPr>
            <w:tcW w:w="350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b/>
                <w:color w:val="0C2649"/>
                <w:sz w:val="18"/>
                <w:szCs w:val="18"/>
              </w:rPr>
              <w:t xml:space="preserve">D2. Necesidades de la empresa (Art. 161)</w:t>
            </w:r>
          </w:p>
        </w:tc>
        <w:tc>
          <w:tcPr>
            <w:tcW w:w="270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b/>
                <w:color w:val="F20530"/>
                <w:sz w:val="18"/>
                <w:szCs w:val="18"/>
              </w:rPr>
              <w:t xml:space="preserve">~$ 2.080.000</w:t>
            </w:r>
          </w:p>
        </w:tc>
        <w:tc>
          <w:tcPr>
            <w:tcW w:w="388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Nulidad si cotizaciones impagas (Art. 162)</w:t>
            </w:r>
          </w:p>
        </w:tc>
      </w:tr>
    </w:tbl>
    <w:p>
      <w:pPr>
        <w:spacing w:before="0" w:after="260" w:line="20" w:lineRule="exact"/>
      </w:pPr>
    </w:p>
    <w:p>
      <w:pPr>
        <w:keepNext/>
        <w:keepLines/>
        <w:spacing w:before="0" w:after="120" w:line="276" w:lineRule="auto"/>
        <w:ind w:left="0" w:right="0" w:hanging="0"/>
      </w:pPr>
      <w:r>
        <w:rPr>
          <w:rFonts w:ascii="IBM Plex Sans" w:hAnsi="IBM Plex Sans" w:cs="IBM Plex Sans"/>
          <w:b/>
          <w:color w:val="0C2649"/>
          <w:sz w:val="20"/>
          <w:szCs w:val="20"/>
        </w:rPr>
        <w:t xml:space="preserve">Desglose del Escenario A (recomendado)</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3900"/>
        <w:gridCol w:w="2000"/>
        <w:gridCol w:w="4180"/>
      </w:tblGrid>
      <w:tr>
        <w:trPr>
          <w:cantSplit/>
          <w:tblHeader/>
        </w:trPr>
        <w:tc>
          <w:tcPr>
            <w:tcW w:w="390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left"/>
            </w:pPr>
            <w:r>
              <w:rPr>
                <w:rFonts w:ascii="IBM Plex Sans" w:hAnsi="IBM Plex Sans" w:cs="IBM Plex Sans"/>
                <w:b/>
                <w:color w:val="FFFFFF"/>
                <w:sz w:val="17"/>
                <w:szCs w:val="17"/>
              </w:rPr>
              <w:t xml:space="preserve">Concepto</w:t>
            </w:r>
          </w:p>
        </w:tc>
        <w:tc>
          <w:tcPr>
            <w:tcW w:w="200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right"/>
            </w:pPr>
            <w:r>
              <w:rPr>
                <w:rFonts w:ascii="IBM Plex Sans" w:hAnsi="IBM Plex Sans" w:cs="IBM Plex Sans"/>
                <w:b/>
                <w:color w:val="FFFFFF"/>
                <w:sz w:val="17"/>
                <w:szCs w:val="17"/>
              </w:rPr>
              <w:t xml:space="preserve">Monto</w:t>
            </w:r>
          </w:p>
        </w:tc>
        <w:tc>
          <w:tcPr>
            <w:tcW w:w="418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left"/>
            </w:pPr>
            <w:r>
              <w:rPr>
                <w:rFonts w:ascii="IBM Plex Sans" w:hAnsi="IBM Plex Sans" w:cs="IBM Plex Sans"/>
                <w:b/>
                <w:color w:val="FFFFFF"/>
                <w:sz w:val="17"/>
                <w:szCs w:val="17"/>
              </w:rPr>
              <w:t xml:space="preserve">Nota</w:t>
            </w:r>
          </w:p>
        </w:tc>
      </w:tr>
      <w:tr>
        <w:trPr>
          <w:cantSplit/>
        </w:trPr>
        <w:tc>
          <w:tcPr>
            <w:tcW w:w="39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Sueldo 01–16 julio (líquido)</w:t>
            </w:r>
          </w:p>
        </w:tc>
        <w:tc>
          <w:tcPr>
            <w:tcW w:w="20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right"/>
            </w:pPr>
            <w:r>
              <w:rPr>
                <w:rFonts w:ascii="IBM Plex Sans" w:hAnsi="IBM Plex Sans" w:cs="IBM Plex Sans"/>
                <w:color w:val="2C2C2C"/>
                <w:sz w:val="18"/>
                <w:szCs w:val="18"/>
              </w:rPr>
              <w:t xml:space="preserve">~$ 533.000</w:t>
            </w:r>
          </w:p>
        </w:tc>
        <w:tc>
          <w:tcPr>
            <w:tcW w:w="418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6B7280"/>
                <w:sz w:val="18"/>
                <w:szCs w:val="18"/>
              </w:rPr>
              <w:t xml:space="preserve">Imponible prorrateado $623.528 (16/30)</w:t>
            </w:r>
          </w:p>
        </w:tc>
      </w:tr>
      <w:tr>
        <w:trPr>
          <w:cantSplit/>
        </w:trPr>
        <w:tc>
          <w:tcPr>
            <w:tcW w:w="390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Feriado proporcional</w:t>
            </w:r>
          </w:p>
        </w:tc>
        <w:tc>
          <w:tcPr>
            <w:tcW w:w="200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Next/>
              <w:keepLines/>
              <w:spacing w:before="0" w:after="0" w:line="250" w:lineRule="auto"/>
              <w:ind w:left="0" w:right="0" w:hanging="0"/>
              <w:jc w:val="right"/>
            </w:pPr>
            <w:r>
              <w:rPr>
                <w:rFonts w:ascii="IBM Plex Sans" w:hAnsi="IBM Plex Sans" w:cs="IBM Plex Sans"/>
                <w:color w:val="2C2C2C"/>
                <w:sz w:val="18"/>
                <w:szCs w:val="18"/>
              </w:rPr>
              <w:t xml:space="preserve">$ 345.800</w:t>
            </w:r>
          </w:p>
        </w:tc>
        <w:tc>
          <w:tcPr>
            <w:tcW w:w="418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6B7280"/>
                <w:sz w:val="18"/>
                <w:szCs w:val="18"/>
              </w:rPr>
              <w:t xml:space="preserve">Cifra del propio finiquito al 16-07</w:t>
            </w:r>
          </w:p>
        </w:tc>
      </w:tr>
      <w:tr>
        <w:trPr>
          <w:cantSplit/>
        </w:trPr>
        <w:tc>
          <w:tcPr>
            <w:tcW w:w="39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Cotizaciones julio (planilla + recargo)</w:t>
            </w:r>
          </w:p>
        </w:tc>
        <w:tc>
          <w:tcPr>
            <w:tcW w:w="20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right"/>
            </w:pPr>
            <w:r>
              <w:rPr>
                <w:rFonts w:ascii="IBM Plex Sans" w:hAnsi="IBM Plex Sans" w:cs="IBM Plex Sans"/>
                <w:color w:val="2C2C2C"/>
                <w:sz w:val="18"/>
                <w:szCs w:val="18"/>
              </w:rPr>
              <w:t xml:space="preserve">~$ 207.992</w:t>
            </w:r>
          </w:p>
        </w:tc>
        <w:tc>
          <w:tcPr>
            <w:tcW w:w="418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6B7280"/>
                <w:sz w:val="18"/>
                <w:szCs w:val="18"/>
              </w:rPr>
              <w:t xml:space="preserve">Previred “pago atrasado”; recalcular por 16 días</w:t>
            </w:r>
          </w:p>
        </w:tc>
      </w:tr>
      <w:tr>
        <w:trPr>
          <w:cantSplit/>
        </w:trPr>
        <w:tc>
          <w:tcPr>
            <w:tcW w:w="3900" w:type="dxa"/>
            <w:tcBorders>
              <w:top w:val="nil"/>
              <w:left w:val="nil"/>
              <w:bottom w:val="nil"/>
              <w:right w:val="nil"/>
            </w:tcBorders>
            <w:shd w:val="clear" w:color="auto" w:fill="0C2649"/>
            <w:tcMar>
              <w:top w:w="150" w:type="dxa"/>
              <w:left w:w="150" w:type="dxa"/>
              <w:bottom w:w="150" w:type="dxa"/>
              <w:right w:w="150" w:type="dxa"/>
            </w:tcMar>
            <w:vAlign w:val="top"/>
          </w:tcPr>
          <w:p>
            <w:pPr>
              <w:keepNext/>
              <w:keepLines/>
              <w:spacing w:before="0" w:after="0" w:line="250" w:lineRule="auto"/>
              <w:ind w:left="0" w:right="0" w:hanging="0"/>
            </w:pPr>
            <w:r>
              <w:rPr>
                <w:rFonts w:ascii="IBM Plex Sans" w:hAnsi="IBM Plex Sans" w:cs="IBM Plex Sans"/>
                <w:b/>
                <w:color w:val="FFFFFF"/>
                <w:sz w:val="19"/>
                <w:szCs w:val="19"/>
              </w:rPr>
              <w:t xml:space="preserve">Total aproximado</w:t>
            </w:r>
          </w:p>
        </w:tc>
        <w:tc>
          <w:tcPr>
            <w:tcW w:w="2000" w:type="dxa"/>
            <w:tcBorders>
              <w:top w:val="nil"/>
              <w:left w:val="nil"/>
              <w:bottom w:val="nil"/>
              <w:right w:val="nil"/>
            </w:tcBorders>
            <w:shd w:val="clear" w:color="auto" w:fill="0C2649"/>
            <w:tcMar>
              <w:top w:w="140" w:type="dxa"/>
              <w:left w:w="150" w:type="dxa"/>
              <w:bottom w:w="140" w:type="dxa"/>
              <w:right w:w="150" w:type="dxa"/>
            </w:tcMar>
            <w:vAlign w:val="top"/>
          </w:tcPr>
          <w:p>
            <w:pPr>
              <w:keepNext/>
              <w:keepLines/>
              <w:spacing w:before="0" w:after="0" w:line="250" w:lineRule="auto"/>
              <w:ind w:left="0" w:right="0" w:hanging="0"/>
              <w:jc w:val="right"/>
            </w:pPr>
            <w:r>
              <w:rPr>
                <w:rFonts w:ascii="IBM Plex Serif" w:hAnsi="IBM Plex Serif" w:cs="IBM Plex Serif"/>
                <w:b/>
                <w:color w:val="FFFFFF"/>
                <w:sz w:val="22"/>
                <w:szCs w:val="22"/>
              </w:rPr>
              <w:t xml:space="preserve">~$ 1.087.000</w:t>
            </w:r>
          </w:p>
        </w:tc>
        <w:tc>
          <w:tcPr>
            <w:tcW w:w="4180" w:type="dxa"/>
            <w:tcBorders>
              <w:top w:val="nil"/>
              <w:left w:val="nil"/>
              <w:bottom w:val="nil"/>
              <w:right w:val="nil"/>
            </w:tcBorders>
            <w:shd w:val="clear" w:color="auto" w:fill="0C2649"/>
            <w:tcMar>
              <w:top w:w="110" w:type="dxa"/>
              <w:left w:w="150" w:type="dxa"/>
              <w:bottom w:w="110" w:type="dxa"/>
              <w:right w:w="150" w:type="dxa"/>
            </w:tcMar>
            <w:vAlign w:val="top"/>
          </w:tcPr>
          <w:p>
            <w:pPr>
              <w:spacing w:before="0" w:after="0" w:line="20" w:lineRule="exact"/>
            </w:pPr>
          </w:p>
        </w:tc>
      </w:tr>
    </w:tbl>
    <w:p>
      <w:pPr>
        <w:spacing w:before="0" w:after="400" w:line="20" w:lineRule="exact"/>
      </w:pPr>
    </w:p>
    <w:p>
      <w:pPr>
        <w:keepNext/>
        <w:keepLines/>
        <w:spacing w:before="0" w:after="0" w:line="260" w:lineRule="auto"/>
        <w:ind w:left="0" w:right="0" w:hanging="0"/>
      </w:pPr>
      <w:r>
        <w:rPr>
          <w:rFonts w:ascii="IBM Plex Serif" w:hAnsi="IBM Plex Serif" w:cs="IBM Plex Serif"/>
          <w:b/>
          <w:color w:val="F20530"/>
          <w:sz w:val="20"/>
          <w:szCs w:val="20"/>
        </w:rPr>
        <w:t xml:space="preserve">07   </w:t>
      </w:r>
      <w:r>
        <w:rPr>
          <w:rFonts w:ascii="IBM Plex Serif" w:hAnsi="IBM Plex Serif" w:cs="IBM Plex Serif"/>
          <w:b/>
          <w:color w:val="0C2649"/>
          <w:sz w:val="28"/>
          <w:szCs w:val="28"/>
        </w:rPr>
        <w:t xml:space="preserve">Exposición a multas</w:t>
      </w:r>
    </w:p>
    <w:p>
      <w:pPr>
        <w:keepNext/>
        <w:pBdr>
          <w:bottom w:val="single" w:sz="12" w:space="4" w:color="0C2649"/>
        </w:pBdr>
        <w:spacing w:before="0" w:after="20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24" w:space="0" w:color="F20530"/>
              <w:bottom w:val="nil"/>
              <w:right w:val="nil"/>
            </w:tcBorders>
            <w:shd w:val="clear" w:color="auto" w:fill="E6EAF1"/>
            <w:tcMar>
              <w:top w:w="180" w:type="dxa"/>
              <w:left w:w="220" w:type="dxa"/>
              <w:bottom w:w="180" w:type="dxa"/>
              <w:right w:w="220" w:type="dxa"/>
            </w:tcMar>
            <w:vAlign w:val="top"/>
          </w:tcPr>
          <w:p>
            <w:pPr>
              <w:keepLines/>
              <w:spacing w:before="0" w:after="0" w:line="265" w:lineRule="auto"/>
              <w:ind w:left="0" w:right="0" w:hanging="0"/>
              <w:jc w:val="both"/>
            </w:pPr>
            <w:r>
              <w:rPr>
                <w:rFonts w:ascii="IBM Plex Sans" w:hAnsi="IBM Plex Sans" w:cs="IBM Plex Sans"/>
                <w:b/>
                <w:color w:val="F20530"/>
                <w:sz w:val="19"/>
                <w:szCs w:val="19"/>
              </w:rPr>
              <w:t xml:space="preserve">Punto clave: </w:t>
            </w:r>
            <w:r>
              <w:rPr>
                <w:rFonts w:ascii="IBM Plex Sans" w:hAnsi="IBM Plex Sans" w:cs="IBM Plex Sans"/>
                <w:color w:val="1A1A1A"/>
                <w:sz w:val="19"/>
                <w:szCs w:val="19"/>
              </w:rPr>
              <w:t xml:space="preserve">el comparendo de conciliación </w:t>
            </w:r>
            <w:r>
              <w:rPr>
                <w:rFonts w:ascii="IBM Plex Sans" w:hAnsi="IBM Plex Sans" w:cs="IBM Plex Sans"/>
                <w:b/>
                <w:color w:val="1A1A1A"/>
                <w:sz w:val="19"/>
                <w:szCs w:val="19"/>
              </w:rPr>
              <w:t xml:space="preserve">no es una fiscalización</w:t>
            </w:r>
            <w:r>
              <w:rPr>
                <w:rFonts w:ascii="IBM Plex Sans" w:hAnsi="IBM Plex Sans" w:cs="IBM Plex Sans"/>
                <w:color w:val="1A1A1A"/>
                <w:sz w:val="19"/>
                <w:szCs w:val="19"/>
              </w:rPr>
              <w:t xml:space="preserve">. Si hay acuerdo, </w:t>
            </w:r>
            <w:r>
              <w:rPr>
                <w:rFonts w:ascii="IBM Plex Sans" w:hAnsi="IBM Plex Sans" w:cs="IBM Plex Sans"/>
                <w:b/>
                <w:color w:val="1A1A1A"/>
                <w:sz w:val="19"/>
                <w:szCs w:val="19"/>
              </w:rPr>
              <w:t xml:space="preserve">no se aplican multas</w:t>
            </w:r>
            <w:r>
              <w:rPr>
                <w:rFonts w:ascii="IBM Plex Sans" w:hAnsi="IBM Plex Sans" w:cs="IBM Plex Sans"/>
                <w:color w:val="1A1A1A"/>
                <w:sz w:val="19"/>
                <w:szCs w:val="19"/>
              </w:rPr>
              <w:t xml:space="preserve">. Las multas aparecen si PIVEXA no comparece, no acompaña documentos, o si el caso deriva en fiscalización/juicio.</w:t>
            </w:r>
          </w:p>
        </w:tc>
      </w:tr>
    </w:tbl>
    <w:p>
      <w:pPr>
        <w:spacing w:before="0" w:after="220" w:line="20" w:lineRule="exact"/>
      </w:pPr>
    </w:p>
    <w:p>
      <w:pPr>
        <w:keepNext/>
        <w:keepLines/>
        <w:spacing w:before="0" w:after="120" w:line="276" w:lineRule="auto"/>
        <w:ind w:left="0" w:right="0" w:hanging="0"/>
      </w:pPr>
      <w:r>
        <w:rPr>
          <w:rFonts w:ascii="IBM Plex Sans" w:hAnsi="IBM Plex Sans" w:cs="IBM Plex Sans"/>
          <w:b/>
          <w:color w:val="0C2649"/>
          <w:sz w:val="20"/>
          <w:szCs w:val="20"/>
        </w:rPr>
        <w:t xml:space="preserve">Tramos del Art. 506 CT (vigente 01-07-2026), por infracción, con UTM sep-2026 = $71.721</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3500"/>
        <w:gridCol w:w="2800"/>
        <w:gridCol w:w="3780"/>
      </w:tblGrid>
      <w:tr>
        <w:trPr>
          <w:cantSplit/>
          <w:tblHeader/>
        </w:trPr>
        <w:tc>
          <w:tcPr>
            <w:tcW w:w="350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left"/>
            </w:pPr>
            <w:r>
              <w:rPr>
                <w:rFonts w:ascii="IBM Plex Sans" w:hAnsi="IBM Plex Sans" w:cs="IBM Plex Sans"/>
                <w:b/>
                <w:color w:val="FFFFFF"/>
                <w:sz w:val="17"/>
                <w:szCs w:val="17"/>
              </w:rPr>
              <w:t xml:space="preserve">Tamaño de empresa</w:t>
            </w:r>
          </w:p>
        </w:tc>
        <w:tc>
          <w:tcPr>
            <w:tcW w:w="280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left"/>
            </w:pPr>
            <w:r>
              <w:rPr>
                <w:rFonts w:ascii="IBM Plex Sans" w:hAnsi="IBM Plex Sans" w:cs="IBM Plex Sans"/>
                <w:b/>
                <w:color w:val="FFFFFF"/>
                <w:sz w:val="17"/>
                <w:szCs w:val="17"/>
              </w:rPr>
              <w:t xml:space="preserve">Rango</w:t>
            </w:r>
          </w:p>
        </w:tc>
        <w:tc>
          <w:tcPr>
            <w:tcW w:w="378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right"/>
            </w:pPr>
            <w:r>
              <w:rPr>
                <w:rFonts w:ascii="IBM Plex Sans" w:hAnsi="IBM Plex Sans" w:cs="IBM Plex Sans"/>
                <w:b/>
                <w:color w:val="FFFFFF"/>
                <w:sz w:val="17"/>
                <w:szCs w:val="17"/>
              </w:rPr>
              <w:t xml:space="preserve">En pesos (por infracción)</w:t>
            </w:r>
          </w:p>
        </w:tc>
      </w:tr>
      <w:tr>
        <w:trPr>
          <w:cantSplit/>
        </w:trPr>
        <w:tc>
          <w:tcPr>
            <w:tcW w:w="35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b/>
                <w:color w:val="0C2649"/>
                <w:sz w:val="18"/>
                <w:szCs w:val="18"/>
              </w:rPr>
              <w:t xml:space="preserve">Micro (1–9 trab.)</w:t>
            </w:r>
          </w:p>
        </w:tc>
        <w:tc>
          <w:tcPr>
            <w:tcW w:w="28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1 a 5 UTM</w:t>
            </w:r>
          </w:p>
        </w:tc>
        <w:tc>
          <w:tcPr>
            <w:tcW w:w="3780" w:type="dxa"/>
            <w:tcBorders>
              <w:top w:val="nil"/>
              <w:left w:val="nil"/>
              <w:bottom w:val="single" w:sz="4" w:space="0" w:color="E6EAF1"/>
              <w:right w:val="nil"/>
            </w:tcBorders>
            <w:tcMar>
              <w:top w:w="110" w:type="dxa"/>
              <w:left w:w="150" w:type="dxa"/>
              <w:bottom w:w="110" w:type="dxa"/>
              <w:right w:w="150" w:type="dxa"/>
            </w:tcMar>
            <w:vAlign w:val="top"/>
          </w:tcPr>
          <w:p>
            <w:pPr>
              <w:keepLines/>
              <w:spacing w:before="0" w:after="0" w:line="250" w:lineRule="auto"/>
              <w:ind w:left="0" w:right="0" w:hanging="0"/>
              <w:jc w:val="right"/>
            </w:pPr>
            <w:r>
              <w:rPr>
                <w:rFonts w:ascii="IBM Plex Sans" w:hAnsi="IBM Plex Sans" w:cs="IBM Plex Sans"/>
                <w:color w:val="2C2C2C"/>
                <w:sz w:val="18"/>
                <w:szCs w:val="18"/>
              </w:rPr>
              <w:t xml:space="preserve">$ 71.721 – $ 358.605</w:t>
            </w:r>
          </w:p>
        </w:tc>
      </w:tr>
    </w:tbl>
    <w:p>
      <w:pPr>
        <w:spacing w:before="0" w:after="240" w:line="20" w:lineRule="exact"/>
      </w:pPr>
    </w:p>
    <w:p>
      <w:pPr>
        <w:keepNext/>
        <w:keepLines/>
        <w:spacing w:before="0" w:after="120" w:line="276" w:lineRule="auto"/>
        <w:ind w:left="0" w:right="0" w:hanging="0"/>
      </w:pPr>
      <w:r>
        <w:rPr>
          <w:rFonts w:ascii="IBM Plex Sans" w:hAnsi="IBM Plex Sans" w:cs="IBM Plex Sans"/>
          <w:b/>
          <w:color w:val="F20530"/>
          <w:sz w:val="20"/>
          <w:szCs w:val="20"/>
        </w:rPr>
        <w:t xml:space="preserve">a) </w:t>
      </w:r>
      <w:r>
        <w:rPr>
          <w:rFonts w:ascii="IBM Plex Sans" w:hAnsi="IBM Plex Sans" w:cs="IBM Plex Sans"/>
          <w:b/>
          <w:color w:val="0C2649"/>
          <w:sz w:val="20"/>
          <w:szCs w:val="20"/>
        </w:rPr>
        <w:t xml:space="preserve">Multas procedimentales (riesgo inmediato en el comparendo)</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3900"/>
        <w:gridCol w:w="2600"/>
        <w:gridCol w:w="3580"/>
      </w:tblGrid>
      <w:tr>
        <w:trPr>
          <w:cantSplit/>
          <w:tblHeader/>
        </w:trPr>
        <w:tc>
          <w:tcPr>
            <w:tcW w:w="390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left"/>
            </w:pPr>
            <w:r>
              <w:rPr>
                <w:rFonts w:ascii="IBM Plex Sans" w:hAnsi="IBM Plex Sans" w:cs="IBM Plex Sans"/>
                <w:b/>
                <w:color w:val="FFFFFF"/>
                <w:sz w:val="17"/>
                <w:szCs w:val="17"/>
              </w:rPr>
              <w:t xml:space="preserve">Conducta</w:t>
            </w:r>
          </w:p>
        </w:tc>
        <w:tc>
          <w:tcPr>
            <w:tcW w:w="260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left"/>
            </w:pPr>
            <w:r>
              <w:rPr>
                <w:rFonts w:ascii="IBM Plex Sans" w:hAnsi="IBM Plex Sans" w:cs="IBM Plex Sans"/>
                <w:b/>
                <w:color w:val="FFFFFF"/>
                <w:sz w:val="17"/>
                <w:szCs w:val="17"/>
              </w:rPr>
              <w:t xml:space="preserve">Base legal</w:t>
            </w:r>
          </w:p>
        </w:tc>
        <w:tc>
          <w:tcPr>
            <w:tcW w:w="3580" w:type="dxa"/>
            <w:tcBorders>
              <w:top w:val="nil"/>
              <w:left w:val="nil"/>
              <w:bottom w:val="nil"/>
              <w:right w:val="nil"/>
            </w:tcBorders>
            <w:shd w:val="clear" w:color="auto" w:fill="0C2649"/>
            <w:tcMar>
              <w:top w:w="120" w:type="dxa"/>
              <w:left w:w="150" w:type="dxa"/>
              <w:bottom w:w="120" w:type="dxa"/>
              <w:right w:w="150" w:type="dxa"/>
            </w:tcMar>
            <w:vAlign w:val="top"/>
          </w:tcPr>
          <w:p>
            <w:pPr>
              <w:keepNext/>
              <w:keepLines/>
              <w:spacing w:before="0" w:after="0" w:line="240" w:lineRule="auto"/>
              <w:ind w:left="0" w:right="0" w:hanging="0"/>
              <w:jc w:val="left"/>
            </w:pPr>
            <w:r>
              <w:rPr>
                <w:rFonts w:ascii="IBM Plex Sans" w:hAnsi="IBM Plex Sans" w:cs="IBM Plex Sans"/>
                <w:b/>
                <w:color w:val="FFFFFF"/>
                <w:sz w:val="17"/>
                <w:szCs w:val="17"/>
              </w:rPr>
              <w:t xml:space="preserve">Rango (micro / pequeña)</w:t>
            </w:r>
          </w:p>
        </w:tc>
      </w:tr>
      <w:tr>
        <w:trPr>
          <w:cantSplit/>
        </w:trPr>
        <w:tc>
          <w:tcPr>
            <w:tcW w:w="39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No comparecer</w:t>
            </w:r>
          </w:p>
        </w:tc>
        <w:tc>
          <w:tcPr>
            <w:tcW w:w="260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Art. 30 DFL 2/1967</w:t>
            </w:r>
          </w:p>
        </w:tc>
        <w:tc>
          <w:tcPr>
            <w:tcW w:w="3580" w:type="dxa"/>
            <w:tcBorders>
              <w:top w:val="nil"/>
              <w:left w:val="nil"/>
              <w:bottom w:val="single" w:sz="4" w:space="0" w:color="E6EAF1"/>
              <w:right w:val="nil"/>
            </w:tcBorders>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1–5 / 1–10 UTM</w:t>
            </w:r>
          </w:p>
        </w:tc>
      </w:tr>
      <w:tr>
        <w:trPr>
          <w:cantSplit/>
        </w:trPr>
        <w:tc>
          <w:tcPr>
            <w:tcW w:w="390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No acompañar la documentación requerida</w:t>
            </w:r>
          </w:p>
        </w:tc>
        <w:tc>
          <w:tcPr>
            <w:tcW w:w="260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Next/>
              <w:keepLines/>
              <w:spacing w:before="0" w:after="0" w:line="250" w:lineRule="auto"/>
              <w:ind w:left="0" w:right="0" w:hanging="0"/>
              <w:jc w:val="left"/>
            </w:pPr>
            <w:r>
              <w:rPr>
                <w:rFonts w:ascii="IBM Plex Sans" w:hAnsi="IBM Plex Sans" w:cs="IBM Plex Sans"/>
                <w:color w:val="2C2C2C"/>
                <w:sz w:val="18"/>
                <w:szCs w:val="18"/>
              </w:rPr>
              <w:t xml:space="preserve">Art. 32 DFL 2/1967</w:t>
            </w:r>
          </w:p>
        </w:tc>
        <w:tc>
          <w:tcPr>
            <w:tcW w:w="358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1–5 / 1–10 UTM (puede ser por documento)</w:t>
            </w:r>
          </w:p>
        </w:tc>
      </w:tr>
    </w:tbl>
    <w:p>
      <w:pPr>
        <w:spacing w:before="0" w:after="22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18" w:space="0" w:color="0C2649"/>
              <w:bottom w:val="nil"/>
              <w:right w:val="nil"/>
            </w:tcBorders>
            <w:shd w:val="clear" w:color="auto" w:fill="F7F8FA"/>
            <w:tcMar>
              <w:top w:w="180" w:type="dxa"/>
              <w:left w:w="220" w:type="dxa"/>
              <w:bottom w:w="180" w:type="dxa"/>
              <w:right w:w="220" w:type="dxa"/>
            </w:tcMar>
            <w:vAlign w:val="top"/>
          </w:tcPr>
          <w:p>
            <w:pPr>
              <w:keepLines/>
              <w:spacing w:before="0" w:after="0" w:line="265" w:lineRule="auto"/>
              <w:ind w:left="0" w:right="0" w:hanging="0"/>
              <w:jc w:val="both"/>
            </w:pPr>
            <w:r>
              <w:rPr>
                <w:rFonts w:ascii="IBM Plex Sans" w:hAnsi="IBM Plex Sans" w:cs="IBM Plex Sans"/>
                <w:b/>
                <w:color w:val="F20530"/>
                <w:sz w:val="19"/>
                <w:szCs w:val="19"/>
              </w:rPr>
              <w:t xml:space="preserve">b) </w:t>
            </w:r>
            <w:r>
              <w:rPr>
                <w:rFonts w:ascii="IBM Plex Sans" w:hAnsi="IBM Plex Sans" w:cs="IBM Plex Sans"/>
                <w:b/>
                <w:color w:val="0C2649"/>
                <w:sz w:val="19"/>
                <w:szCs w:val="19"/>
              </w:rPr>
              <w:t xml:space="preserve">Multas sustantivas (si deriva en fiscalización): </w:t>
            </w:r>
            <w:r>
              <w:rPr>
                <w:rFonts w:ascii="IBM Plex Sans" w:hAnsi="IBM Plex Sans" w:cs="IBM Plex Sans"/>
                <w:color w:val="2C2C2C"/>
                <w:sz w:val="19"/>
                <w:szCs w:val="19"/>
              </w:rPr>
              <w:t xml:space="preserve">no pago íntegro y oportuno de remuneraciones (julio); no otorgar/pagar finiquito; ausencia de registro de asistencia (salvo exclusión de jornada). Cada una en el rango 1–5 / 1–10 UTM.</w:t>
            </w:r>
          </w:p>
        </w:tc>
      </w:tr>
    </w:tbl>
    <w:p>
      <w:pPr>
        <w:spacing w:before="0" w:after="12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18" w:space="0" w:color="0C2649"/>
              <w:bottom w:val="nil"/>
              <w:right w:val="nil"/>
            </w:tcBorders>
            <w:shd w:val="clear" w:color="auto" w:fill="F7F8FA"/>
            <w:tcMar>
              <w:top w:w="180" w:type="dxa"/>
              <w:left w:w="220" w:type="dxa"/>
              <w:bottom w:w="180" w:type="dxa"/>
              <w:right w:w="220" w:type="dxa"/>
            </w:tcMar>
            <w:vAlign w:val="top"/>
          </w:tcPr>
          <w:p>
            <w:pPr>
              <w:keepLines/>
              <w:spacing w:before="0" w:after="0" w:line="265" w:lineRule="auto"/>
              <w:ind w:left="0" w:right="0" w:hanging="0"/>
              <w:jc w:val="both"/>
            </w:pPr>
            <w:r>
              <w:rPr>
                <w:rFonts w:ascii="IBM Plex Sans" w:hAnsi="IBM Plex Sans" w:cs="IBM Plex Sans"/>
                <w:b/>
                <w:color w:val="F20530"/>
                <w:sz w:val="19"/>
                <w:szCs w:val="19"/>
              </w:rPr>
              <w:t xml:space="preserve">c) </w:t>
            </w:r>
            <w:r>
              <w:rPr>
                <w:rFonts w:ascii="IBM Plex Sans" w:hAnsi="IBM Plex Sans" w:cs="IBM Plex Sans"/>
                <w:b/>
                <w:color w:val="0C2649"/>
                <w:sz w:val="19"/>
                <w:szCs w:val="19"/>
              </w:rPr>
              <w:t xml:space="preserve">Cotizaciones impagas. </w:t>
            </w:r>
            <w:r>
              <w:rPr>
                <w:rFonts w:ascii="IBM Plex Sans" w:hAnsi="IBM Plex Sans" w:cs="IBM Plex Sans"/>
                <w:color w:val="2C2C2C"/>
                <w:sz w:val="19"/>
                <w:szCs w:val="19"/>
              </w:rPr>
              <w:t xml:space="preserve">No es solo multa: las cotizaciones de julio quedan sujetas a </w:t>
            </w:r>
            <w:r>
              <w:rPr>
                <w:rFonts w:ascii="IBM Plex Sans" w:hAnsi="IBM Plex Sans" w:cs="IBM Plex Sans"/>
                <w:b/>
                <w:color w:val="0C2649"/>
                <w:sz w:val="19"/>
                <w:szCs w:val="19"/>
              </w:rPr>
              <w:t xml:space="preserve">cobranza previsional (Ley 17.322)</w:t>
            </w:r>
            <w:r>
              <w:rPr>
                <w:rFonts w:ascii="IBM Plex Sans" w:hAnsi="IBM Plex Sans" w:cs="IBM Plex Sans"/>
                <w:color w:val="2C2C2C"/>
                <w:sz w:val="19"/>
                <w:szCs w:val="19"/>
              </w:rPr>
              <w:t xml:space="preserve"> con reajustes e intereses, y la subdeclaración eventual de feb–abril agrava el frente de nulidad (sección 4).</w:t>
            </w:r>
          </w:p>
        </w:tc>
      </w:tr>
    </w:tbl>
    <w:p>
      <w:pPr>
        <w:spacing w:before="0" w:after="16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0C2649"/>
            <w:tcMar>
              <w:top w:w="180" w:type="dxa"/>
              <w:left w:w="220" w:type="dxa"/>
              <w:bottom w:w="180" w:type="dxa"/>
              <w:right w:w="220" w:type="dxa"/>
            </w:tcMar>
            <w:vAlign w:val="top"/>
          </w:tcPr>
          <w:p>
            <w:pPr>
              <w:keepLines/>
              <w:spacing w:before="0" w:after="0" w:line="265" w:lineRule="auto"/>
              <w:ind w:left="0" w:right="0" w:hanging="0"/>
              <w:jc w:val="both"/>
            </w:pPr>
            <w:r>
              <w:rPr>
                <w:rFonts w:ascii="IBM Plex Sans" w:hAnsi="IBM Plex Sans" w:cs="IBM Plex Sans"/>
                <w:b/>
                <w:color w:val="F20530"/>
                <w:sz w:val="19"/>
                <w:szCs w:val="19"/>
              </w:rPr>
              <w:t xml:space="preserve">Rango realista sin acuerdo y con fiscalización (micro): </w:t>
            </w:r>
            <w:r>
              <w:rPr>
                <w:rFonts w:ascii="IBM Plex Sans" w:hAnsi="IBM Plex Sans" w:cs="IBM Plex Sans"/>
                <w:color w:val="FFFFFF"/>
                <w:sz w:val="19"/>
                <w:szCs w:val="19"/>
              </w:rPr>
              <w:t xml:space="preserve">del orden de </w:t>
            </w:r>
            <w:r>
              <w:rPr>
                <w:rFonts w:ascii="IBM Plex Sans" w:hAnsi="IBM Plex Sans" w:cs="IBM Plex Sans"/>
                <w:b/>
                <w:color w:val="C5E3EF"/>
                <w:sz w:val="19"/>
                <w:szCs w:val="19"/>
              </w:rPr>
              <w:t xml:space="preserve">5 a 15 UTM</w:t>
            </w:r>
            <w:r>
              <w:rPr>
                <w:rFonts w:ascii="IBM Plex Sans" w:hAnsi="IBM Plex Sans" w:cs="IBM Plex Sans"/>
                <w:color w:val="FFFFFF"/>
                <w:sz w:val="19"/>
                <w:szCs w:val="19"/>
              </w:rPr>
              <w:t xml:space="preserve"> en total (~$358.600 a ~$1.075.800), además de los desembolsos laborales del Escenario C. </w:t>
            </w:r>
            <w:r>
              <w:rPr>
                <w:rFonts w:ascii="IBM Plex Sans" w:hAnsi="IBM Plex Sans" w:cs="IBM Plex Sans"/>
                <w:b/>
                <w:color w:val="C5E3EF"/>
                <w:sz w:val="19"/>
                <w:szCs w:val="19"/>
              </w:rPr>
              <w:t xml:space="preserve">Con acuerdo en la conciliación, esta línea es $0.</w:t>
            </w:r>
          </w:p>
        </w:tc>
      </w:tr>
    </w:tbl>
    <w:p>
      <w:pPr>
        <w:spacing w:before="0" w:after="400" w:line="20" w:lineRule="exact"/>
      </w:pPr>
    </w:p>
    <w:p>
      <w:pPr>
        <w:keepNext/>
        <w:keepLines/>
        <w:spacing w:before="0" w:after="0" w:line="260" w:lineRule="auto"/>
        <w:ind w:left="0" w:right="0" w:hanging="0"/>
      </w:pPr>
      <w:r>
        <w:rPr>
          <w:rFonts w:ascii="IBM Plex Serif" w:hAnsi="IBM Plex Serif" w:cs="IBM Plex Serif"/>
          <w:b/>
          <w:color w:val="F20530"/>
          <w:sz w:val="20"/>
          <w:szCs w:val="20"/>
        </w:rPr>
        <w:t xml:space="preserve">08   </w:t>
      </w:r>
      <w:r>
        <w:rPr>
          <w:rFonts w:ascii="IBM Plex Serif" w:hAnsi="IBM Plex Serif" w:cs="IBM Plex Serif"/>
          <w:b/>
          <w:color w:val="0C2649"/>
          <w:sz w:val="28"/>
          <w:szCs w:val="28"/>
        </w:rPr>
        <w:t xml:space="preserve">Estrategia recomendada y guion para el 24-09</w:t>
      </w:r>
    </w:p>
    <w:p>
      <w:pPr>
        <w:keepNext/>
        <w:pBdr>
          <w:bottom w:val="single" w:sz="12" w:space="4" w:color="0C2649"/>
        </w:pBdr>
        <w:spacing w:before="0" w:after="20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24" w:space="0" w:color="F20530"/>
              <w:bottom w:val="nil"/>
              <w:right w:val="nil"/>
            </w:tcBorders>
            <w:shd w:val="clear" w:color="auto" w:fill="E6EAF1"/>
            <w:tcMar>
              <w:top w:w="180" w:type="dxa"/>
              <w:left w:w="220" w:type="dxa"/>
              <w:bottom w:w="180" w:type="dxa"/>
              <w:right w:w="220" w:type="dxa"/>
            </w:tcMar>
            <w:vAlign w:val="top"/>
          </w:tcPr>
          <w:p>
            <w:pPr>
              <w:keepLines/>
              <w:spacing w:before="0" w:after="0" w:line="270" w:lineRule="auto"/>
              <w:ind w:left="0" w:right="0" w:hanging="0"/>
              <w:jc w:val="both"/>
            </w:pPr>
            <w:r>
              <w:rPr>
                <w:rFonts w:ascii="IBM Plex Sans" w:hAnsi="IBM Plex Sans" w:cs="IBM Plex Sans"/>
                <w:b/>
                <w:color w:val="F20530"/>
                <w:sz w:val="20"/>
                <w:szCs w:val="20"/>
              </w:rPr>
              <w:t xml:space="preserve">Objetivo único: </w:t>
            </w:r>
            <w:r>
              <w:rPr>
                <w:rFonts w:ascii="IBM Plex Sans" w:hAnsi="IBM Plex Sans" w:cs="IBM Plex Sans"/>
                <w:color w:val="1A1A1A"/>
                <w:sz w:val="20"/>
                <w:szCs w:val="20"/>
              </w:rPr>
              <w:t xml:space="preserve">salir del comparendo con un </w:t>
            </w:r>
            <w:r>
              <w:rPr>
                <w:rFonts w:ascii="IBM Plex Sans" w:hAnsi="IBM Plex Sans" w:cs="IBM Plex Sans"/>
                <w:b/>
                <w:color w:val="1A1A1A"/>
                <w:sz w:val="20"/>
                <w:szCs w:val="20"/>
              </w:rPr>
              <w:t xml:space="preserve">finiquito de mutuo acuerdo (Art. 159 N°1), término 16-07-2026, ratificado ante el conciliador y pagado</w:t>
            </w:r>
            <w:r>
              <w:rPr>
                <w:rFonts w:ascii="IBM Plex Sans" w:hAnsi="IBM Plex Sans" w:cs="IBM Plex Sans"/>
                <w:color w:val="1A1A1A"/>
                <w:sz w:val="20"/>
                <w:szCs w:val="20"/>
              </w:rPr>
              <w:t xml:space="preserve">, que cierre todo con poder liberatorio.</w:t>
            </w:r>
          </w:p>
        </w:tc>
      </w:tr>
    </w:tbl>
    <w:p>
      <w:pPr>
        <w:spacing w:before="0" w:after="20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980"/>
        <w:gridCol w:w="120"/>
        <w:gridCol w:w="4980"/>
      </w:tblGrid>
      <w:tr>
        <w:trPr>
          <w:cantSplit/>
        </w:trPr>
        <w:tc>
          <w:tcPr>
            <w:tcW w:w="4980" w:type="dxa"/>
            <w:tcBorders>
              <w:top w:val="nil"/>
              <w:left w:val="single" w:sz="18" w:space="0" w:color="0C2649"/>
              <w:bottom w:val="nil"/>
              <w:right w:val="nil"/>
            </w:tcBorders>
            <w:shd w:val="clear" w:color="auto" w:fill="F7F8FA"/>
            <w:tcMar>
              <w:top w:w="170" w:type="dxa"/>
              <w:left w:w="200" w:type="dxa"/>
              <w:bottom w:w="170" w:type="dxa"/>
              <w:right w:w="180" w:type="dxa"/>
            </w:tcMar>
            <w:vAlign w:val="top"/>
          </w:tcPr>
          <w:p>
            <w:pPr>
              <w:keepNext/>
              <w:keepLines/>
              <w:spacing w:before="0" w:after="80" w:line="230" w:lineRule="auto"/>
              <w:ind w:left="0" w:right="0" w:hanging="0"/>
            </w:pPr>
            <w:r>
              <w:rPr>
                <w:rFonts w:ascii="IBM Plex Sans" w:hAnsi="IBM Plex Sans" w:cs="IBM Plex Sans"/>
                <w:b/>
                <w:caps/>
                <w:spacing w:val="24"/>
                <w:color w:val="0C2649"/>
                <w:sz w:val="15"/>
                <w:szCs w:val="15"/>
              </w:rPr>
              <w:t xml:space="preserve">Por qué mutuo acuerdo y no otra causal</w:t>
            </w:r>
          </w:p>
          <w:p>
            <w:pPr>
              <w:keepLines/>
              <w:tabs>
                <w:tab w:val="left" w:pos="300"/>
              </w:tabs>
              <w:spacing w:before="0" w:after="90" w:line="276" w:lineRule="auto"/>
              <w:ind w:left="300" w:right="0" w:hanging="300"/>
              <w:jc w:val="both"/>
            </w:pPr>
            <w:r>
              <w:rPr>
                <w:rFonts w:ascii="IBM Plex Sans" w:hAnsi="IBM Plex Sans" w:cs="IBM Plex Sans"/>
                <w:b/>
                <w:color w:val="F20530"/>
                <w:sz w:val="18"/>
                <w:szCs w:val="18"/>
              </w:rPr>
              <w:t xml:space="preserve">—</w:t>
            </w:r>
            <w:r>
              <w:rPr>
                <w:rFonts w:ascii="IBM Plex Sans" w:hAnsi="IBM Plex Sans" w:cs="IBM Plex Sans"/>
                <w:color w:val="2C2C2C"/>
                <w:sz w:val="20"/>
                <w:szCs w:val="20"/>
              </w:rPr>
              <w:t xml:space="preserve">	</w:t>
            </w:r>
            <w:r>
              <w:rPr>
                <w:rFonts w:ascii="IBM Plex Sans" w:hAnsi="IBM Plex Sans" w:cs="IBM Plex Sans"/>
                <w:color w:val="2C2C2C"/>
                <w:sz w:val="18"/>
                <w:szCs w:val="18"/>
              </w:rPr>
              <w:t xml:space="preserve">Es la más barata: sin aviso previo y, con menos de 1 año de servicio, sin indemnización por años de servicio.</w:t>
            </w:r>
          </w:p>
          <w:p>
            <w:pPr>
              <w:keepLines/>
              <w:tabs>
                <w:tab w:val="left" w:pos="300"/>
              </w:tabs>
              <w:spacing w:before="0" w:after="90" w:line="276" w:lineRule="auto"/>
              <w:ind w:left="300" w:right="0" w:hanging="300"/>
              <w:jc w:val="both"/>
            </w:pPr>
            <w:r>
              <w:rPr>
                <w:rFonts w:ascii="IBM Plex Sans" w:hAnsi="IBM Plex Sans" w:cs="IBM Plex Sans"/>
                <w:b/>
                <w:color w:val="F20530"/>
                <w:sz w:val="18"/>
                <w:szCs w:val="18"/>
              </w:rPr>
              <w:t xml:space="preserve">—</w:t>
            </w:r>
            <w:r>
              <w:rPr>
                <w:rFonts w:ascii="IBM Plex Sans" w:hAnsi="IBM Plex Sans" w:cs="IBM Plex Sans"/>
                <w:color w:val="2C2C2C"/>
                <w:sz w:val="20"/>
                <w:szCs w:val="20"/>
              </w:rPr>
              <w:t xml:space="preserve">	</w:t>
            </w:r>
            <w:r>
              <w:rPr>
                <w:rFonts w:ascii="IBM Plex Sans" w:hAnsi="IBM Plex Sans" w:cs="IBM Plex Sans"/>
                <w:b/>
                <w:color w:val="0C2649"/>
                <w:sz w:val="18"/>
                <w:szCs w:val="18"/>
              </w:rPr>
              <w:t xml:space="preserve">Deja el caso fuera de la nulidad del despido</w:t>
            </w:r>
            <w:r>
              <w:rPr>
                <w:rFonts w:ascii="IBM Plex Sans" w:hAnsi="IBM Plex Sans" w:cs="IBM Plex Sans"/>
                <w:color w:val="2C2C2C"/>
                <w:sz w:val="18"/>
                <w:szCs w:val="18"/>
              </w:rPr>
              <w:t xml:space="preserve"> (Art. 162 no aplica al 159 N°1).</w:t>
            </w:r>
          </w:p>
          <w:p>
            <w:pPr>
              <w:keepLines/>
              <w:tabs>
                <w:tab w:val="left" w:pos="300"/>
              </w:tabs>
              <w:spacing w:before="0" w:after="0" w:line="276" w:lineRule="auto"/>
              <w:ind w:left="300" w:right="0" w:hanging="300"/>
              <w:jc w:val="both"/>
            </w:pPr>
            <w:r>
              <w:rPr>
                <w:rFonts w:ascii="IBM Plex Sans" w:hAnsi="IBM Plex Sans" w:cs="IBM Plex Sans"/>
                <w:b/>
                <w:color w:val="F20530"/>
                <w:sz w:val="18"/>
                <w:szCs w:val="18"/>
              </w:rPr>
              <w:t xml:space="preserve">—</w:t>
            </w:r>
            <w:r>
              <w:rPr>
                <w:rFonts w:ascii="IBM Plex Sans" w:hAnsi="IBM Plex Sans" w:cs="IBM Plex Sans"/>
                <w:color w:val="2C2C2C"/>
                <w:sz w:val="20"/>
                <w:szCs w:val="20"/>
              </w:rPr>
              <w:t xml:space="preserve">	</w:t>
            </w:r>
            <w:r>
              <w:rPr>
                <w:rFonts w:ascii="IBM Plex Sans" w:hAnsi="IBM Plex Sans" w:cs="IBM Plex Sans"/>
                <w:color w:val="2C2C2C"/>
                <w:sz w:val="18"/>
                <w:szCs w:val="18"/>
              </w:rPr>
              <w:t xml:space="preserve">Refleja la realidad: ambas partes ya habían acordado terminar de buena fe.</w:t>
            </w:r>
          </w:p>
        </w:tc>
        <w:tc>
          <w:tcPr>
            <w:tcW w:w="1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4980" w:type="dxa"/>
            <w:tcBorders>
              <w:top w:val="nil"/>
              <w:left w:val="single" w:sz="18" w:space="0" w:color="F20530"/>
              <w:bottom w:val="nil"/>
              <w:right w:val="nil"/>
            </w:tcBorders>
            <w:shd w:val="clear" w:color="auto" w:fill="F7F8FA"/>
            <w:tcMar>
              <w:top w:w="170" w:type="dxa"/>
              <w:left w:w="200" w:type="dxa"/>
              <w:bottom w:w="170" w:type="dxa"/>
              <w:right w:w="180" w:type="dxa"/>
            </w:tcMar>
            <w:vAlign w:val="top"/>
          </w:tcPr>
          <w:p>
            <w:pPr>
              <w:keepNext/>
              <w:keepLines/>
              <w:spacing w:before="0" w:after="80" w:line="230" w:lineRule="auto"/>
              <w:ind w:left="0" w:right="0" w:hanging="0"/>
            </w:pPr>
            <w:r>
              <w:rPr>
                <w:rFonts w:ascii="IBM Plex Sans" w:hAnsi="IBM Plex Sans" w:cs="IBM Plex Sans"/>
                <w:b/>
                <w:caps/>
                <w:spacing w:val="24"/>
                <w:color w:val="F20530"/>
                <w:sz w:val="15"/>
                <w:szCs w:val="15"/>
              </w:rPr>
              <w:t xml:space="preserve">Por qué al 16-07 y no al 30-06</w:t>
            </w:r>
          </w:p>
          <w:p>
            <w:pPr>
              <w:keepLines/>
              <w:spacing w:before="0" w:after="0" w:line="258" w:lineRule="auto"/>
              <w:ind w:left="0" w:right="0" w:hanging="0"/>
              <w:jc w:val="both"/>
            </w:pPr>
            <w:r>
              <w:rPr>
                <w:rFonts w:ascii="IBM Plex Sans" w:hAnsi="IBM Plex Sans" w:cs="IBM Plex Sans"/>
                <w:color w:val="2C2C2C"/>
                <w:sz w:val="18"/>
                <w:szCs w:val="18"/>
              </w:rPr>
              <w:t xml:space="preserve">Todo el reclamo se construye sobre el vacío del 1 al 16 de julio. Reconocer el 16-07 desactiva el conflicto por un costo marginal (~16 días + diferencia de feriado + cotizaciones de julio) y permite un finiquito válido. Insistir en el 30-06 es pelear en el único terreno donde la empresa está débil.</w:t>
            </w:r>
          </w:p>
        </w:tc>
      </w:tr>
    </w:tbl>
    <w:p>
      <w:pPr>
        <w:spacing w:before="0" w:after="240" w:line="20" w:lineRule="exact"/>
      </w:pPr>
    </w:p>
    <w:p>
      <w:pPr>
        <w:keepNext/>
        <w:keepLines/>
        <w:spacing w:before="0" w:after="140" w:line="276" w:lineRule="auto"/>
        <w:ind w:left="0" w:right="0" w:hanging="0"/>
      </w:pPr>
      <w:r>
        <w:rPr>
          <w:rFonts w:ascii="IBM Plex Sans" w:hAnsi="IBM Plex Sans" w:cs="IBM Plex Sans"/>
          <w:b/>
          <w:color w:val="0C2649"/>
          <w:sz w:val="21"/>
          <w:szCs w:val="21"/>
        </w:rPr>
        <w:t xml:space="preserve">Guion del comparendo</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ind w:left="0" w:right="0" w:hanging="0"/>
              <w:jc w:val="center"/>
            </w:pPr>
            <w:r>
              <w:rPr>
                <w:rFonts w:ascii="IBM Plex Serif" w:hAnsi="IBM Plex Serif" w:cs="IBM Plex Serif"/>
                <w:b/>
                <w:color w:val="FFFFFF"/>
                <w:sz w:val="20"/>
                <w:szCs w:val="20"/>
              </w:rPr>
              <w:t xml:space="preserve">1</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ind w:left="0" w:right="0" w:hanging="0"/>
              <w:jc w:val="both"/>
            </w:pPr>
            <w:r>
              <w:rPr>
                <w:rFonts w:ascii="IBM Plex Sans" w:hAnsi="IBM Plex Sans" w:cs="IBM Plex Sans"/>
                <w:b/>
                <w:color w:val="0C2649"/>
                <w:sz w:val="19"/>
                <w:szCs w:val="19"/>
              </w:rPr>
              <w:t xml:space="preserve">Comparecer</w:t>
            </w:r>
            <w:r>
              <w:rPr>
                <w:rFonts w:ascii="IBM Plex Sans" w:hAnsi="IBM Plex Sans" w:cs="IBM Plex Sans"/>
                <w:color w:val="2C2C2C"/>
                <w:sz w:val="19"/>
                <w:szCs w:val="19"/>
              </w:rPr>
              <w:t xml:space="preserve"> (presencial o por mandatario con poder y facultad de transigir; ver checklist).</w:t>
            </w:r>
          </w:p>
        </w:tc>
      </w:tr>
    </w:tbl>
    <w:p>
      <w:pPr>
        <w:spacing w:before="0" w:after="12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ind w:left="0" w:right="0" w:hanging="0"/>
              <w:jc w:val="center"/>
            </w:pPr>
            <w:r>
              <w:rPr>
                <w:rFonts w:ascii="IBM Plex Serif" w:hAnsi="IBM Plex Serif" w:cs="IBM Plex Serif"/>
                <w:b/>
                <w:color w:val="FFFFFF"/>
                <w:sz w:val="20"/>
                <w:szCs w:val="20"/>
              </w:rPr>
              <w:t xml:space="preserve">2</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ind w:left="0" w:right="0" w:hanging="0"/>
              <w:jc w:val="both"/>
            </w:pPr>
            <w:r>
              <w:rPr>
                <w:rFonts w:ascii="IBM Plex Sans" w:hAnsi="IBM Plex Sans" w:cs="IBM Plex Sans"/>
                <w:color w:val="2C2C2C"/>
                <w:sz w:val="19"/>
                <w:szCs w:val="19"/>
              </w:rPr>
              <w:t xml:space="preserve">Reconocer la relación laboral y su término consensuado; </w:t>
            </w:r>
            <w:r>
              <w:rPr>
                <w:rFonts w:ascii="IBM Plex Sans" w:hAnsi="IBM Plex Sans" w:cs="IBM Plex Sans"/>
                <w:b/>
                <w:color w:val="0C2649"/>
                <w:sz w:val="19"/>
                <w:szCs w:val="19"/>
              </w:rPr>
              <w:t xml:space="preserve">no</w:t>
            </w:r>
            <w:r>
              <w:rPr>
                <w:rFonts w:ascii="IBM Plex Sans" w:hAnsi="IBM Plex Sans" w:cs="IBM Plex Sans"/>
                <w:color w:val="2C2C2C"/>
                <w:sz w:val="19"/>
                <w:szCs w:val="19"/>
              </w:rPr>
              <w:t xml:space="preserve"> plantear la tesis de “socia”.</w:t>
            </w:r>
          </w:p>
        </w:tc>
      </w:tr>
    </w:tbl>
    <w:p>
      <w:pPr>
        <w:spacing w:before="0" w:after="12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ind w:left="0" w:right="0" w:hanging="0"/>
              <w:jc w:val="center"/>
            </w:pPr>
            <w:r>
              <w:rPr>
                <w:rFonts w:ascii="IBM Plex Serif" w:hAnsi="IBM Plex Serif" w:cs="IBM Plex Serif"/>
                <w:b/>
                <w:color w:val="FFFFFF"/>
                <w:sz w:val="20"/>
                <w:szCs w:val="20"/>
              </w:rPr>
              <w:t xml:space="preserve">3</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ind w:left="0" w:right="0" w:hanging="0"/>
              <w:jc w:val="both"/>
            </w:pPr>
            <w:r>
              <w:rPr>
                <w:rFonts w:ascii="IBM Plex Sans" w:hAnsi="IBM Plex Sans" w:cs="IBM Plex Sans"/>
                <w:color w:val="2C2C2C"/>
                <w:sz w:val="19"/>
                <w:szCs w:val="19"/>
              </w:rPr>
              <w:t xml:space="preserve">Ofrecer el avenimiento: pago de julio (1–16) + feriado proporcional + regularización de cotizaciones de julio, contra </w:t>
            </w:r>
            <w:r>
              <w:rPr>
                <w:rFonts w:ascii="IBM Plex Sans" w:hAnsi="IBM Plex Sans" w:cs="IBM Plex Sans"/>
                <w:b/>
                <w:color w:val="0C2649"/>
                <w:sz w:val="19"/>
                <w:szCs w:val="19"/>
              </w:rPr>
              <w:t xml:space="preserve">finiquito de mutuo acuerdo ratificado en el acto</w:t>
            </w:r>
            <w:r>
              <w:rPr>
                <w:rFonts w:ascii="IBM Plex Sans" w:hAnsi="IBM Plex Sans" w:cs="IBM Plex Sans"/>
                <w:color w:val="2C2C2C"/>
                <w:sz w:val="19"/>
                <w:szCs w:val="19"/>
              </w:rPr>
              <w:t xml:space="preserve">.</w:t>
            </w:r>
          </w:p>
        </w:tc>
      </w:tr>
    </w:tbl>
    <w:p>
      <w:pPr>
        <w:spacing w:before="0" w:after="12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ind w:left="0" w:right="0" w:hanging="0"/>
              <w:jc w:val="center"/>
            </w:pPr>
            <w:r>
              <w:rPr>
                <w:rFonts w:ascii="IBM Plex Serif" w:hAnsi="IBM Plex Serif" w:cs="IBM Plex Serif"/>
                <w:b/>
                <w:color w:val="FFFFFF"/>
                <w:sz w:val="20"/>
                <w:szCs w:val="20"/>
              </w:rPr>
              <w:t xml:space="preserve">4</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ind w:left="0" w:right="0" w:hanging="0"/>
              <w:jc w:val="both"/>
            </w:pPr>
            <w:r>
              <w:rPr>
                <w:rFonts w:ascii="IBM Plex Sans" w:hAnsi="IBM Plex Sans" w:cs="IBM Plex Sans"/>
                <w:color w:val="2C2C2C"/>
                <w:sz w:val="19"/>
                <w:szCs w:val="19"/>
              </w:rPr>
              <w:t xml:space="preserve">Si se necesita liquidez: proponer </w:t>
            </w:r>
            <w:r>
              <w:rPr>
                <w:rFonts w:ascii="IBM Plex Sans" w:hAnsi="IBM Plex Sans" w:cs="IBM Plex Sans"/>
                <w:b/>
                <w:color w:val="0C2649"/>
                <w:sz w:val="19"/>
                <w:szCs w:val="19"/>
              </w:rPr>
              <w:t xml:space="preserve">acuerdo de pago</w:t>
            </w:r>
            <w:r>
              <w:rPr>
                <w:rFonts w:ascii="IBM Plex Sans" w:hAnsi="IBM Plex Sans" w:cs="IBM Plex Sans"/>
                <w:color w:val="2C2C2C"/>
                <w:sz w:val="19"/>
                <w:szCs w:val="19"/>
              </w:rPr>
              <w:t xml:space="preserve"> (cuotas) dentro del acta de conciliación, que también tiene mérito ejecutivo, en vez de trabar el acuerdo.</w:t>
            </w:r>
          </w:p>
        </w:tc>
      </w:tr>
    </w:tbl>
    <w:p>
      <w:pPr>
        <w:spacing w:before="0" w:after="12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F20530"/>
            <w:tcMar>
              <w:top w:w="90" w:type="dxa"/>
              <w:left w:w="0" w:type="dxa"/>
              <w:bottom w:w="90" w:type="dxa"/>
              <w:right w:w="0" w:type="dxa"/>
            </w:tcMar>
            <w:vAlign w:val="center"/>
          </w:tcPr>
          <w:p>
            <w:pPr>
              <w:keepLines/>
              <w:spacing w:before="0" w:after="0" w:line="240" w:lineRule="auto"/>
              <w:ind w:left="0" w:right="0" w:hanging="0"/>
              <w:jc w:val="center"/>
            </w:pPr>
            <w:r>
              <w:rPr>
                <w:rFonts w:ascii="IBM Plex Serif" w:hAnsi="IBM Plex Serif" w:cs="IBM Plex Serif"/>
                <w:b/>
                <w:color w:val="FFFFFF"/>
                <w:sz w:val="20"/>
                <w:szCs w:val="20"/>
              </w:rPr>
              <w:t xml:space="preserve">5</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ind w:left="0" w:right="0" w:hanging="0"/>
              <w:jc w:val="both"/>
            </w:pPr>
            <w:r>
              <w:rPr>
                <w:rFonts w:ascii="IBM Plex Sans" w:hAnsi="IBM Plex Sans" w:cs="IBM Plex Sans"/>
                <w:color w:val="2C2C2C"/>
                <w:sz w:val="19"/>
                <w:szCs w:val="19"/>
              </w:rPr>
              <w:t xml:space="preserve">Cerrar con el acta firmada y el finiquito ratificado. Pagar cotizaciones de julio de inmediato para blindar cualquier flanco de nulidad.</w:t>
            </w:r>
          </w:p>
        </w:tc>
      </w:tr>
    </w:tbl>
    <w:p>
      <w:pPr>
        <w:spacing w:before="0" w:after="120" w:line="20" w:lineRule="exact"/>
      </w:pPr>
    </w:p>
    <w:p>
      <w:pPr>
        <w:spacing w:before="0" w:after="10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F20530"/>
            <w:tcMar>
              <w:top w:w="180" w:type="dxa"/>
              <w:left w:w="220" w:type="dxa"/>
              <w:bottom w:w="180" w:type="dxa"/>
              <w:right w:w="220" w:type="dxa"/>
            </w:tcMar>
            <w:vAlign w:val="top"/>
          </w:tcPr>
          <w:p>
            <w:pPr>
              <w:keepLines/>
              <w:spacing w:before="0" w:after="0" w:line="265" w:lineRule="auto"/>
              <w:ind w:left="0" w:right="0" w:hanging="0"/>
              <w:jc w:val="both"/>
            </w:pPr>
            <w:r>
              <w:rPr>
                <w:rFonts w:ascii="IBM Plex Sans" w:hAnsi="IBM Plex Sans" w:cs="IBM Plex Sans"/>
                <w:b/>
                <w:color w:val="FFFFFF"/>
                <w:sz w:val="19"/>
                <w:szCs w:val="19"/>
              </w:rPr>
              <w:t xml:space="preserve">Líneas rojas: </w:t>
            </w:r>
            <w:r>
              <w:rPr>
                <w:rFonts w:ascii="IBM Plex Sans" w:hAnsi="IBM Plex Sans" w:cs="IBM Plex Sans"/>
                <w:color w:val="FFFFFF"/>
                <w:sz w:val="19"/>
                <w:szCs w:val="19"/>
              </w:rPr>
              <w:t xml:space="preserve">no firmar abandono ni necesidades de la empresa; no reconocer hechos que sugieran un despido unilateral; no retirarse sin acta ni prometer pagos fuera del acta.</w:t>
            </w:r>
          </w:p>
        </w:tc>
      </w:tr>
    </w:tbl>
    <w:p>
      <w:pPr>
        <w:spacing w:before="0" w:after="400" w:line="20" w:lineRule="exact"/>
      </w:pPr>
    </w:p>
    <w:p>
      <w:pPr>
        <w:keepNext/>
        <w:keepLines/>
        <w:spacing w:before="0" w:after="0" w:line="260" w:lineRule="auto"/>
        <w:ind w:left="0" w:right="0" w:hanging="0"/>
      </w:pPr>
      <w:r>
        <w:rPr>
          <w:rFonts w:ascii="IBM Plex Serif" w:hAnsi="IBM Plex Serif" w:cs="IBM Plex Serif"/>
          <w:b/>
          <w:color w:val="F20530"/>
          <w:sz w:val="20"/>
          <w:szCs w:val="20"/>
        </w:rPr>
        <w:t xml:space="preserve">09   </w:t>
      </w:r>
      <w:r>
        <w:rPr>
          <w:rFonts w:ascii="IBM Plex Serif" w:hAnsi="IBM Plex Serif" w:cs="IBM Plex Serif"/>
          <w:b/>
          <w:color w:val="0C2649"/>
          <w:sz w:val="28"/>
          <w:szCs w:val="28"/>
        </w:rPr>
        <w:t xml:space="preserve">Checklist documental para el 24-09</w:t>
      </w:r>
    </w:p>
    <w:p>
      <w:pPr>
        <w:keepNext/>
        <w:pBdr>
          <w:bottom w:val="single" w:sz="12" w:space="4" w:color="0C2649"/>
        </w:pBdr>
        <w:spacing w:before="0" w:after="200" w:line="20" w:lineRule="exact"/>
      </w:pPr>
    </w:p>
    <w:p>
      <w:pPr>
        <w:keepNext/>
        <w:keepLines/>
        <w:spacing w:before="0" w:after="160" w:line="276" w:lineRule="auto"/>
        <w:ind w:left="0" w:right="0" w:hanging="0"/>
        <w:jc w:val="both"/>
      </w:pPr>
      <w:r>
        <w:rPr>
          <w:rFonts w:ascii="IBM Plex Sans" w:hAnsi="IBM Plex Sans" w:cs="IBM Plex Sans"/>
          <w:color w:val="2C2C2C"/>
          <w:sz w:val="20"/>
          <w:szCs w:val="20"/>
        </w:rPr>
        <w:t xml:space="preserve">La citación exige originales (o copias autenticadas ante notario). Estado de cada documento:</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3500"/>
        <w:gridCol w:w="1640"/>
        <w:gridCol w:w="4940"/>
      </w:tblGrid>
      <w:tr>
        <w:trPr>
          <w:cantSplit/>
          <w:tblHeader/>
        </w:trPr>
        <w:tc>
          <w:tcPr>
            <w:tcW w:w="3500" w:type="dxa"/>
            <w:tcBorders>
              <w:top w:val="nil"/>
              <w:left w:val="nil"/>
              <w:bottom w:val="nil"/>
              <w:right w:val="nil"/>
            </w:tcBorders>
            <w:shd w:val="clear" w:color="auto" w:fill="0C2649"/>
            <w:tcMar>
              <w:top w:w="120" w:type="dxa"/>
              <w:left w:w="150" w:type="dxa"/>
              <w:bottom w:w="120" w:type="dxa"/>
              <w:right w:w="150" w:type="dxa"/>
            </w:tcMar>
            <w:vAlign w:val="top"/>
          </w:tcPr>
          <w:p>
            <w:pPr>
              <w:keepLines/>
              <w:spacing w:before="0" w:after="0" w:line="240" w:lineRule="auto"/>
              <w:ind w:left="0" w:right="0" w:hanging="0"/>
              <w:jc w:val="left"/>
            </w:pPr>
            <w:r>
              <w:rPr>
                <w:rFonts w:ascii="IBM Plex Sans" w:hAnsi="IBM Plex Sans" w:cs="IBM Plex Sans"/>
                <w:b/>
                <w:color w:val="FFFFFF"/>
                <w:sz w:val="17"/>
                <w:szCs w:val="17"/>
              </w:rPr>
              <w:t xml:space="preserve">Documento requerido</w:t>
            </w:r>
          </w:p>
        </w:tc>
        <w:tc>
          <w:tcPr>
            <w:tcW w:w="1640" w:type="dxa"/>
            <w:tcBorders>
              <w:top w:val="nil"/>
              <w:left w:val="nil"/>
              <w:bottom w:val="nil"/>
              <w:right w:val="nil"/>
            </w:tcBorders>
            <w:shd w:val="clear" w:color="auto" w:fill="0C2649"/>
            <w:tcMar>
              <w:top w:w="120" w:type="dxa"/>
              <w:left w:w="150" w:type="dxa"/>
              <w:bottom w:w="120" w:type="dxa"/>
              <w:right w:w="150" w:type="dxa"/>
            </w:tcMar>
            <w:vAlign w:val="top"/>
          </w:tcPr>
          <w:p>
            <w:pPr>
              <w:keepLines/>
              <w:spacing w:before="0" w:after="0" w:line="240" w:lineRule="auto"/>
              <w:ind w:left="0" w:right="0" w:hanging="0"/>
              <w:jc w:val="center"/>
            </w:pPr>
            <w:r>
              <w:rPr>
                <w:rFonts w:ascii="IBM Plex Sans" w:hAnsi="IBM Plex Sans" w:cs="IBM Plex Sans"/>
                <w:b/>
                <w:color w:val="FFFFFF"/>
                <w:sz w:val="17"/>
                <w:szCs w:val="17"/>
              </w:rPr>
              <w:t xml:space="preserve">Estado</w:t>
            </w:r>
          </w:p>
        </w:tc>
        <w:tc>
          <w:tcPr>
            <w:tcW w:w="4940" w:type="dxa"/>
            <w:tcBorders>
              <w:top w:val="nil"/>
              <w:left w:val="nil"/>
              <w:bottom w:val="nil"/>
              <w:right w:val="nil"/>
            </w:tcBorders>
            <w:shd w:val="clear" w:color="auto" w:fill="0C2649"/>
            <w:tcMar>
              <w:top w:w="120" w:type="dxa"/>
              <w:left w:w="150" w:type="dxa"/>
              <w:bottom w:w="120" w:type="dxa"/>
              <w:right w:w="150" w:type="dxa"/>
            </w:tcMar>
            <w:vAlign w:val="top"/>
          </w:tcPr>
          <w:p>
            <w:pPr>
              <w:keepLines/>
              <w:spacing w:before="0" w:after="0" w:line="240" w:lineRule="auto"/>
              <w:ind w:left="0" w:right="0" w:hanging="0"/>
              <w:jc w:val="left"/>
            </w:pPr>
            <w:r>
              <w:rPr>
                <w:rFonts w:ascii="IBM Plex Sans" w:hAnsi="IBM Plex Sans" w:cs="IBM Plex Sans"/>
                <w:b/>
                <w:color w:val="FFFFFF"/>
                <w:sz w:val="17"/>
                <w:szCs w:val="17"/>
              </w:rPr>
              <w:t xml:space="preserve">Acción</w:t>
            </w:r>
          </w:p>
        </w:tc>
      </w:tr>
      <w:tr>
        <w:trPr>
          <w:cantSplit/>
        </w:trPr>
        <w:tc>
          <w:tcPr>
            <w:tcW w:w="3500" w:type="dxa"/>
            <w:tcBorders>
              <w:top w:val="nil"/>
              <w:left w:val="nil"/>
              <w:bottom w:val="single" w:sz="4" w:space="0" w:color="E6EAF1"/>
              <w:right w:val="nil"/>
            </w:tcBorders>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b/>
                <w:color w:val="0C2649"/>
                <w:sz w:val="18"/>
                <w:szCs w:val="18"/>
              </w:rPr>
              <w:t xml:space="preserve">Contrato individual actualizado</w:t>
            </w:r>
          </w:p>
        </w:tc>
        <w:tc>
          <w:tcPr>
            <w:tcW w:w="1640" w:type="dxa"/>
            <w:tcBorders>
              <w:top w:val="nil"/>
              <w:left w:val="nil"/>
              <w:bottom w:val="single" w:sz="4" w:space="0" w:color="E6EAF1"/>
              <w:right w:val="nil"/>
            </w:tcBorders>
            <w:tcMar>
              <w:top w:w="110" w:type="dxa"/>
              <w:left w:w="70" w:type="dxa"/>
              <w:bottom w:w="110" w:type="dxa"/>
              <w:right w:w="70" w:type="dxa"/>
            </w:tcMar>
            <w:vAlign w:val="center"/>
          </w:tcPr>
          <w:tbl>
            <w:tblPr>
              <w:tblW w:w="15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500"/>
            </w:tblGrid>
            <w:tr>
              <w:trPr>
                <w:cantSplit/>
              </w:trPr>
              <w:tc>
                <w:tcPr>
                  <w:tcW w:w="1500" w:type="dxa"/>
                  <w:tcBorders>
                    <w:top w:val="nil"/>
                    <w:left w:val="nil"/>
                    <w:bottom w:val="nil"/>
                    <w:right w:val="nil"/>
                  </w:tcBorders>
                  <w:shd w:val="clear" w:color="auto" w:fill="E6EAF1"/>
                  <w:tcMar>
                    <w:top w:w="60" w:type="dxa"/>
                    <w:left w:w="60" w:type="dxa"/>
                    <w:bottom w:w="60" w:type="dxa"/>
                    <w:right w:w="60" w:type="dxa"/>
                  </w:tcMar>
                  <w:vAlign w:val="center"/>
                </w:tcPr>
                <w:p>
                  <w:pPr>
                    <w:keepLines/>
                    <w:spacing w:before="0" w:after="0" w:line="230" w:lineRule="auto"/>
                    <w:ind w:left="0" w:right="0" w:hanging="0"/>
                    <w:jc w:val="center"/>
                  </w:pPr>
                  <w:r>
                    <w:rPr>
                      <w:rFonts w:ascii="IBM Plex Sans" w:hAnsi="IBM Plex Sans" w:cs="IBM Plex Sans"/>
                      <w:b/>
                      <w:caps/>
                      <w:spacing w:val="10"/>
                      <w:color w:val="0C2649"/>
                      <w:sz w:val="15"/>
                      <w:szCs w:val="15"/>
                    </w:rPr>
                    <w:t xml:space="preserve">Parcial</w:t>
                  </w:r>
                </w:p>
              </w:tc>
            </w:tr>
          </w:tbl>
        </w:tc>
        <w:tc>
          <w:tcPr>
            <w:tcW w:w="4940" w:type="dxa"/>
            <w:tcBorders>
              <w:top w:val="nil"/>
              <w:left w:val="nil"/>
              <w:bottom w:val="single" w:sz="4" w:space="0" w:color="E6EAF1"/>
              <w:right w:val="nil"/>
            </w:tcBorders>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Llevar el contrato</w:t>
            </w:r>
          </w:p>
        </w:tc>
      </w:tr>
      <w:tr>
        <w:trPr>
          <w:cantSplit/>
        </w:trPr>
        <w:tc>
          <w:tcPr>
            <w:tcW w:w="350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b/>
                <w:color w:val="0C2649"/>
                <w:sz w:val="18"/>
                <w:szCs w:val="18"/>
              </w:rPr>
              <w:t xml:space="preserve">Liquidaciones de sueldo (feb–jul)</w:t>
            </w:r>
          </w:p>
        </w:tc>
        <w:tc>
          <w:tcPr>
            <w:tcW w:w="1640" w:type="dxa"/>
            <w:tcBorders>
              <w:top w:val="nil"/>
              <w:left w:val="nil"/>
              <w:bottom w:val="single" w:sz="4" w:space="0" w:color="E6EAF1"/>
              <w:right w:val="nil"/>
            </w:tcBorders>
            <w:shd w:val="clear" w:color="auto" w:fill="F7F8FA"/>
            <w:tcMar>
              <w:top w:w="110" w:type="dxa"/>
              <w:left w:w="70" w:type="dxa"/>
              <w:bottom w:w="110" w:type="dxa"/>
              <w:right w:w="70" w:type="dxa"/>
            </w:tcMar>
            <w:vAlign w:val="center"/>
          </w:tcPr>
          <w:tbl>
            <w:tblPr>
              <w:tblW w:w="15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500"/>
            </w:tblGrid>
            <w:tr>
              <w:trPr>
                <w:cantSplit/>
              </w:trPr>
              <w:tc>
                <w:tcPr>
                  <w:tcW w:w="1500" w:type="dxa"/>
                  <w:tcBorders>
                    <w:top w:val="nil"/>
                    <w:left w:val="nil"/>
                    <w:bottom w:val="nil"/>
                    <w:right w:val="nil"/>
                  </w:tcBorders>
                  <w:shd w:val="clear" w:color="auto" w:fill="E6EAF1"/>
                  <w:tcMar>
                    <w:top w:w="60" w:type="dxa"/>
                    <w:left w:w="60" w:type="dxa"/>
                    <w:bottom w:w="60" w:type="dxa"/>
                    <w:right w:w="60" w:type="dxa"/>
                  </w:tcMar>
                  <w:vAlign w:val="center"/>
                </w:tcPr>
                <w:p>
                  <w:pPr>
                    <w:keepLines/>
                    <w:spacing w:before="0" w:after="0" w:line="230" w:lineRule="auto"/>
                    <w:ind w:left="0" w:right="0" w:hanging="0"/>
                    <w:jc w:val="center"/>
                  </w:pPr>
                  <w:r>
                    <w:rPr>
                      <w:rFonts w:ascii="IBM Plex Sans" w:hAnsi="IBM Plex Sans" w:cs="IBM Plex Sans"/>
                      <w:b/>
                      <w:caps/>
                      <w:spacing w:val="10"/>
                      <w:color w:val="0C2649"/>
                      <w:sz w:val="15"/>
                      <w:szCs w:val="15"/>
                    </w:rPr>
                    <w:t xml:space="preserve">Parcial</w:t>
                  </w:r>
                </w:p>
              </w:tc>
            </w:tr>
          </w:tbl>
        </w:tc>
        <w:tc>
          <w:tcPr>
            <w:tcW w:w="494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Se tienen feb–jun; </w:t>
            </w:r>
            <w:r>
              <w:rPr>
                <w:rFonts w:ascii="IBM Plex Sans" w:hAnsi="IBM Plex Sans" w:cs="IBM Plex Sans"/>
                <w:b/>
                <w:color w:val="0C2649"/>
                <w:sz w:val="18"/>
                <w:szCs w:val="18"/>
              </w:rPr>
              <w:t xml:space="preserve">falta la de julio (16 días)</w:t>
            </w:r>
            <w:r>
              <w:rPr>
                <w:rFonts w:ascii="IBM Plex Sans" w:hAnsi="IBM Plex Sans" w:cs="IBM Plex Sans"/>
                <w:color w:val="2C2C2C"/>
                <w:sz w:val="18"/>
                <w:szCs w:val="18"/>
              </w:rPr>
              <w:t xml:space="preserve"> → emitir</w:t>
            </w:r>
          </w:p>
        </w:tc>
      </w:tr>
      <w:tr>
        <w:trPr>
          <w:cantSplit/>
        </w:trPr>
        <w:tc>
          <w:tcPr>
            <w:tcW w:w="3500" w:type="dxa"/>
            <w:tcBorders>
              <w:top w:val="nil"/>
              <w:left w:val="nil"/>
              <w:bottom w:val="single" w:sz="4" w:space="0" w:color="E6EAF1"/>
              <w:right w:val="nil"/>
            </w:tcBorders>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b/>
                <w:color w:val="0C2649"/>
                <w:sz w:val="18"/>
                <w:szCs w:val="18"/>
              </w:rPr>
              <w:t xml:space="preserve">Comprobantes de pago de remuneraciones</w:t>
            </w:r>
          </w:p>
        </w:tc>
        <w:tc>
          <w:tcPr>
            <w:tcW w:w="1640" w:type="dxa"/>
            <w:tcBorders>
              <w:top w:val="nil"/>
              <w:left w:val="nil"/>
              <w:bottom w:val="single" w:sz="4" w:space="0" w:color="E6EAF1"/>
              <w:right w:val="nil"/>
            </w:tcBorders>
            <w:tcMar>
              <w:top w:w="110" w:type="dxa"/>
              <w:left w:w="70" w:type="dxa"/>
              <w:bottom w:w="110" w:type="dxa"/>
              <w:right w:w="70" w:type="dxa"/>
            </w:tcMar>
            <w:vAlign w:val="center"/>
          </w:tcPr>
          <w:tbl>
            <w:tblPr>
              <w:tblW w:w="15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500"/>
            </w:tblGrid>
            <w:tr>
              <w:trPr>
                <w:cantSplit/>
              </w:trPr>
              <w:tc>
                <w:tcPr>
                  <w:tcW w:w="1500" w:type="dxa"/>
                  <w:tcBorders>
                    <w:top w:val="nil"/>
                    <w:left w:val="nil"/>
                    <w:bottom w:val="nil"/>
                    <w:right w:val="nil"/>
                  </w:tcBorders>
                  <w:shd w:val="clear" w:color="auto" w:fill="E6EAF1"/>
                  <w:tcMar>
                    <w:top w:w="60" w:type="dxa"/>
                    <w:left w:w="60" w:type="dxa"/>
                    <w:bottom w:w="60" w:type="dxa"/>
                    <w:right w:w="60" w:type="dxa"/>
                  </w:tcMar>
                  <w:vAlign w:val="center"/>
                </w:tcPr>
                <w:p>
                  <w:pPr>
                    <w:keepLines/>
                    <w:spacing w:before="0" w:after="0" w:line="230" w:lineRule="auto"/>
                    <w:ind w:left="0" w:right="0" w:hanging="0"/>
                    <w:jc w:val="center"/>
                  </w:pPr>
                  <w:r>
                    <w:rPr>
                      <w:rFonts w:ascii="IBM Plex Sans" w:hAnsi="IBM Plex Sans" w:cs="IBM Plex Sans"/>
                      <w:b/>
                      <w:caps/>
                      <w:spacing w:val="10"/>
                      <w:color w:val="0C2649"/>
                      <w:sz w:val="15"/>
                      <w:szCs w:val="15"/>
                    </w:rPr>
                    <w:t xml:space="preserve">Parcial</w:t>
                  </w:r>
                </w:p>
              </w:tc>
            </w:tr>
          </w:tbl>
        </w:tc>
        <w:tc>
          <w:tcPr>
            <w:tcW w:w="4940" w:type="dxa"/>
            <w:tcBorders>
              <w:top w:val="nil"/>
              <w:left w:val="nil"/>
              <w:bottom w:val="single" w:sz="4" w:space="0" w:color="E6EAF1"/>
              <w:right w:val="nil"/>
            </w:tcBorders>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Acreditar pagos feb–jun; julio se paga en el acuerdo</w:t>
            </w:r>
          </w:p>
        </w:tc>
      </w:tr>
      <w:tr>
        <w:trPr>
          <w:cantSplit/>
        </w:trPr>
        <w:tc>
          <w:tcPr>
            <w:tcW w:w="350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b/>
                <w:color w:val="0C2649"/>
                <w:sz w:val="18"/>
                <w:szCs w:val="18"/>
              </w:rPr>
              <w:t xml:space="preserve">Finiquito en triplicado</w:t>
            </w:r>
          </w:p>
        </w:tc>
        <w:tc>
          <w:tcPr>
            <w:tcW w:w="1640" w:type="dxa"/>
            <w:tcBorders>
              <w:top w:val="nil"/>
              <w:left w:val="nil"/>
              <w:bottom w:val="single" w:sz="4" w:space="0" w:color="E6EAF1"/>
              <w:right w:val="nil"/>
            </w:tcBorders>
            <w:shd w:val="clear" w:color="auto" w:fill="F7F8FA"/>
            <w:tcMar>
              <w:top w:w="110" w:type="dxa"/>
              <w:left w:w="70" w:type="dxa"/>
              <w:bottom w:w="110" w:type="dxa"/>
              <w:right w:w="70" w:type="dxa"/>
            </w:tcMar>
            <w:vAlign w:val="center"/>
          </w:tcPr>
          <w:tbl>
            <w:tblPr>
              <w:tblW w:w="15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500"/>
            </w:tblGrid>
            <w:tr>
              <w:trPr>
                <w:cantSplit/>
              </w:trPr>
              <w:tc>
                <w:tcPr>
                  <w:tcW w:w="1500" w:type="dxa"/>
                  <w:tcBorders>
                    <w:top w:val="nil"/>
                    <w:left w:val="nil"/>
                    <w:bottom w:val="nil"/>
                    <w:right w:val="nil"/>
                  </w:tcBorders>
                  <w:shd w:val="clear" w:color="auto" w:fill="F20530"/>
                  <w:tcMar>
                    <w:top w:w="60" w:type="dxa"/>
                    <w:left w:w="60" w:type="dxa"/>
                    <w:bottom w:w="60" w:type="dxa"/>
                    <w:right w:w="60" w:type="dxa"/>
                  </w:tcMar>
                  <w:vAlign w:val="center"/>
                </w:tcPr>
                <w:p>
                  <w:pPr>
                    <w:keepLines/>
                    <w:spacing w:before="0" w:after="0" w:line="230" w:lineRule="auto"/>
                    <w:ind w:left="0" w:right="0" w:hanging="0"/>
                    <w:jc w:val="center"/>
                  </w:pPr>
                  <w:r>
                    <w:rPr>
                      <w:rFonts w:ascii="IBM Plex Sans" w:hAnsi="IBM Plex Sans" w:cs="IBM Plex Sans"/>
                      <w:b/>
                      <w:caps/>
                      <w:spacing w:val="10"/>
                      <w:color w:val="FFFFFF"/>
                      <w:sz w:val="15"/>
                      <w:szCs w:val="15"/>
                    </w:rPr>
                    <w:t xml:space="preserve">Rehacer</w:t>
                  </w:r>
                </w:p>
              </w:tc>
            </w:tr>
          </w:tbl>
        </w:tc>
        <w:tc>
          <w:tcPr>
            <w:tcW w:w="494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Emitir el de </w:t>
            </w:r>
            <w:r>
              <w:rPr>
                <w:rFonts w:ascii="IBM Plex Sans" w:hAnsi="IBM Plex Sans" w:cs="IBM Plex Sans"/>
                <w:b/>
                <w:color w:val="0C2649"/>
                <w:sz w:val="18"/>
                <w:szCs w:val="18"/>
              </w:rPr>
              <w:t xml:space="preserve">mutuo acuerdo al 16-07</w:t>
            </w:r>
            <w:r>
              <w:rPr>
                <w:rFonts w:ascii="IBM Plex Sans" w:hAnsi="IBM Plex Sans" w:cs="IBM Plex Sans"/>
                <w:color w:val="2C2C2C"/>
                <w:sz w:val="18"/>
                <w:szCs w:val="18"/>
              </w:rPr>
              <w:t xml:space="preserve"> para ratificar y pagar en el acto</w:t>
            </w:r>
          </w:p>
        </w:tc>
      </w:tr>
      <w:tr>
        <w:trPr>
          <w:cantSplit/>
        </w:trPr>
        <w:tc>
          <w:tcPr>
            <w:tcW w:w="3500" w:type="dxa"/>
            <w:tcBorders>
              <w:top w:val="nil"/>
              <w:left w:val="nil"/>
              <w:bottom w:val="single" w:sz="4" w:space="0" w:color="E6EAF1"/>
              <w:right w:val="nil"/>
            </w:tcBorders>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b/>
                <w:color w:val="0C2649"/>
                <w:sz w:val="18"/>
                <w:szCs w:val="18"/>
              </w:rPr>
              <w:t xml:space="preserve">Declaración jurada Ley 21.389 (pensión alimentos)</w:t>
            </w:r>
          </w:p>
        </w:tc>
        <w:tc>
          <w:tcPr>
            <w:tcW w:w="1640" w:type="dxa"/>
            <w:tcBorders>
              <w:top w:val="nil"/>
              <w:left w:val="nil"/>
              <w:bottom w:val="single" w:sz="4" w:space="0" w:color="E6EAF1"/>
              <w:right w:val="nil"/>
            </w:tcBorders>
            <w:tcMar>
              <w:top w:w="110" w:type="dxa"/>
              <w:left w:w="70" w:type="dxa"/>
              <w:bottom w:w="110" w:type="dxa"/>
              <w:right w:w="70" w:type="dxa"/>
            </w:tcMar>
            <w:vAlign w:val="center"/>
          </w:tcPr>
          <w:tbl>
            <w:tblPr>
              <w:tblW w:w="15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500"/>
            </w:tblGrid>
            <w:tr>
              <w:trPr>
                <w:cantSplit/>
              </w:trPr>
              <w:tc>
                <w:tcPr>
                  <w:tcW w:w="1500" w:type="dxa"/>
                  <w:tcBorders>
                    <w:top w:val="nil"/>
                    <w:left w:val="nil"/>
                    <w:bottom w:val="nil"/>
                    <w:right w:val="nil"/>
                  </w:tcBorders>
                  <w:shd w:val="clear" w:color="auto" w:fill="0C2649"/>
                  <w:tcMar>
                    <w:top w:w="60" w:type="dxa"/>
                    <w:left w:w="60" w:type="dxa"/>
                    <w:bottom w:w="60" w:type="dxa"/>
                    <w:right w:w="60" w:type="dxa"/>
                  </w:tcMar>
                  <w:vAlign w:val="center"/>
                </w:tcPr>
                <w:p>
                  <w:pPr>
                    <w:keepLines/>
                    <w:spacing w:before="0" w:after="0" w:line="230" w:lineRule="auto"/>
                    <w:ind w:left="0" w:right="0" w:hanging="0"/>
                    <w:jc w:val="center"/>
                  </w:pPr>
                  <w:r>
                    <w:rPr>
                      <w:rFonts w:ascii="IBM Plex Sans" w:hAnsi="IBM Plex Sans" w:cs="IBM Plex Sans"/>
                      <w:b/>
                      <w:caps/>
                      <w:spacing w:val="10"/>
                      <w:color w:val="FFFFFF"/>
                      <w:sz w:val="15"/>
                      <w:szCs w:val="15"/>
                    </w:rPr>
                    <w:t xml:space="preserve">Preparar</w:t>
                  </w:r>
                </w:p>
              </w:tc>
            </w:tr>
          </w:tbl>
        </w:tc>
        <w:tc>
          <w:tcPr>
            <w:tcW w:w="4940" w:type="dxa"/>
            <w:tcBorders>
              <w:top w:val="nil"/>
              <w:left w:val="nil"/>
              <w:bottom w:val="single" w:sz="4" w:space="0" w:color="E6EAF1"/>
              <w:right w:val="nil"/>
            </w:tcBorders>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Firmar declaración de no retención</w:t>
            </w:r>
          </w:p>
        </w:tc>
      </w:tr>
      <w:tr>
        <w:trPr>
          <w:cantSplit/>
        </w:trPr>
        <w:tc>
          <w:tcPr>
            <w:tcW w:w="350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b/>
                <w:color w:val="0C2649"/>
                <w:sz w:val="18"/>
                <w:szCs w:val="18"/>
              </w:rPr>
              <w:t xml:space="preserve">Planillas de cotizaciones AFP/AFC/ISAPRE-FONASA/MUTUAL/IPS/CCAF</w:t>
            </w:r>
          </w:p>
        </w:tc>
        <w:tc>
          <w:tcPr>
            <w:tcW w:w="1640" w:type="dxa"/>
            <w:tcBorders>
              <w:top w:val="nil"/>
              <w:left w:val="nil"/>
              <w:bottom w:val="single" w:sz="4" w:space="0" w:color="E6EAF1"/>
              <w:right w:val="nil"/>
            </w:tcBorders>
            <w:shd w:val="clear" w:color="auto" w:fill="F7F8FA"/>
            <w:tcMar>
              <w:top w:w="110" w:type="dxa"/>
              <w:left w:w="70" w:type="dxa"/>
              <w:bottom w:w="110" w:type="dxa"/>
              <w:right w:w="70" w:type="dxa"/>
            </w:tcMar>
            <w:vAlign w:val="center"/>
          </w:tcPr>
          <w:tbl>
            <w:tblPr>
              <w:tblW w:w="15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500"/>
            </w:tblGrid>
            <w:tr>
              <w:trPr>
                <w:cantSplit/>
              </w:trPr>
              <w:tc>
                <w:tcPr>
                  <w:tcW w:w="1500" w:type="dxa"/>
                  <w:tcBorders>
                    <w:top w:val="nil"/>
                    <w:left w:val="nil"/>
                    <w:bottom w:val="nil"/>
                    <w:right w:val="nil"/>
                  </w:tcBorders>
                  <w:shd w:val="clear" w:color="auto" w:fill="E6EAF1"/>
                  <w:tcMar>
                    <w:top w:w="60" w:type="dxa"/>
                    <w:left w:w="60" w:type="dxa"/>
                    <w:bottom w:w="60" w:type="dxa"/>
                    <w:right w:w="60" w:type="dxa"/>
                  </w:tcMar>
                  <w:vAlign w:val="center"/>
                </w:tcPr>
                <w:p>
                  <w:pPr>
                    <w:keepLines/>
                    <w:spacing w:before="0" w:after="0" w:line="230" w:lineRule="auto"/>
                    <w:ind w:left="0" w:right="0" w:hanging="0"/>
                    <w:jc w:val="center"/>
                  </w:pPr>
                  <w:r>
                    <w:rPr>
                      <w:rFonts w:ascii="IBM Plex Sans" w:hAnsi="IBM Plex Sans" w:cs="IBM Plex Sans"/>
                      <w:b/>
                      <w:caps/>
                      <w:spacing w:val="10"/>
                      <w:color w:val="0C2649"/>
                      <w:sz w:val="15"/>
                      <w:szCs w:val="15"/>
                    </w:rPr>
                    <w:t xml:space="preserve">Parcial</w:t>
                  </w:r>
                </w:p>
              </w:tc>
            </w:tr>
          </w:tbl>
        </w:tc>
        <w:tc>
          <w:tcPr>
            <w:tcW w:w="494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Certificado Previred cubre feb–jun; </w:t>
            </w:r>
            <w:r>
              <w:rPr>
                <w:rFonts w:ascii="IBM Plex Sans" w:hAnsi="IBM Plex Sans" w:cs="IBM Plex Sans"/>
                <w:b/>
                <w:color w:val="0C2649"/>
                <w:sz w:val="18"/>
                <w:szCs w:val="18"/>
              </w:rPr>
              <w:t xml:space="preserve">regularizar julio</w:t>
            </w:r>
          </w:p>
        </w:tc>
      </w:tr>
      <w:tr>
        <w:trPr>
          <w:cantSplit/>
        </w:trPr>
        <w:tc>
          <w:tcPr>
            <w:tcW w:w="3500" w:type="dxa"/>
            <w:tcBorders>
              <w:top w:val="nil"/>
              <w:left w:val="nil"/>
              <w:bottom w:val="single" w:sz="4" w:space="0" w:color="E6EAF1"/>
              <w:right w:val="nil"/>
            </w:tcBorders>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b/>
                <w:color w:val="0C2649"/>
                <w:sz w:val="18"/>
                <w:szCs w:val="18"/>
              </w:rPr>
              <w:t xml:space="preserve">Libro auxiliar de remuneraciones (mes anterior)</w:t>
            </w:r>
          </w:p>
        </w:tc>
        <w:tc>
          <w:tcPr>
            <w:tcW w:w="1640" w:type="dxa"/>
            <w:tcBorders>
              <w:top w:val="nil"/>
              <w:left w:val="nil"/>
              <w:bottom w:val="single" w:sz="4" w:space="0" w:color="E6EAF1"/>
              <w:right w:val="nil"/>
            </w:tcBorders>
            <w:tcMar>
              <w:top w:w="110" w:type="dxa"/>
              <w:left w:w="70" w:type="dxa"/>
              <w:bottom w:w="110" w:type="dxa"/>
              <w:right w:w="70" w:type="dxa"/>
            </w:tcMar>
            <w:vAlign w:val="center"/>
          </w:tcPr>
          <w:tbl>
            <w:tblPr>
              <w:tblW w:w="15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500"/>
            </w:tblGrid>
            <w:tr>
              <w:trPr>
                <w:cantSplit/>
              </w:trPr>
              <w:tc>
                <w:tcPr>
                  <w:tcW w:w="1500" w:type="dxa"/>
                  <w:tcBorders>
                    <w:top w:val="nil"/>
                    <w:left w:val="nil"/>
                    <w:bottom w:val="nil"/>
                    <w:right w:val="nil"/>
                  </w:tcBorders>
                  <w:shd w:val="clear" w:color="auto" w:fill="0C2649"/>
                  <w:tcMar>
                    <w:top w:w="60" w:type="dxa"/>
                    <w:left w:w="60" w:type="dxa"/>
                    <w:bottom w:w="60" w:type="dxa"/>
                    <w:right w:w="60" w:type="dxa"/>
                  </w:tcMar>
                  <w:vAlign w:val="center"/>
                </w:tcPr>
                <w:p>
                  <w:pPr>
                    <w:keepLines/>
                    <w:spacing w:before="0" w:after="0" w:line="230" w:lineRule="auto"/>
                    <w:ind w:left="0" w:right="0" w:hanging="0"/>
                    <w:jc w:val="center"/>
                  </w:pPr>
                  <w:r>
                    <w:rPr>
                      <w:rFonts w:ascii="IBM Plex Sans" w:hAnsi="IBM Plex Sans" w:cs="IBM Plex Sans"/>
                      <w:b/>
                      <w:caps/>
                      <w:spacing w:val="10"/>
                      <w:color w:val="FFFFFF"/>
                      <w:sz w:val="15"/>
                      <w:szCs w:val="15"/>
                    </w:rPr>
                    <w:t xml:space="preserve">Preparar</w:t>
                  </w:r>
                </w:p>
              </w:tc>
            </w:tr>
          </w:tbl>
        </w:tc>
        <w:tc>
          <w:tcPr>
            <w:tcW w:w="4940" w:type="dxa"/>
            <w:tcBorders>
              <w:top w:val="nil"/>
              <w:left w:val="nil"/>
              <w:bottom w:val="single" w:sz="4" w:space="0" w:color="E6EAF1"/>
              <w:right w:val="nil"/>
            </w:tcBorders>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Generar</w:t>
            </w:r>
          </w:p>
        </w:tc>
      </w:tr>
      <w:tr>
        <w:trPr>
          <w:cantSplit/>
        </w:trPr>
        <w:tc>
          <w:tcPr>
            <w:tcW w:w="350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b/>
                <w:color w:val="0C2649"/>
                <w:sz w:val="18"/>
                <w:szCs w:val="18"/>
              </w:rPr>
              <w:t xml:space="preserve">Registro de control de asistencia (01–16 jul)</w:t>
            </w:r>
          </w:p>
        </w:tc>
        <w:tc>
          <w:tcPr>
            <w:tcW w:w="1640" w:type="dxa"/>
            <w:tcBorders>
              <w:top w:val="nil"/>
              <w:left w:val="nil"/>
              <w:bottom w:val="single" w:sz="4" w:space="0" w:color="E6EAF1"/>
              <w:right w:val="nil"/>
            </w:tcBorders>
            <w:shd w:val="clear" w:color="auto" w:fill="F7F8FA"/>
            <w:tcMar>
              <w:top w:w="110" w:type="dxa"/>
              <w:left w:w="70" w:type="dxa"/>
              <w:bottom w:w="110" w:type="dxa"/>
              <w:right w:w="70" w:type="dxa"/>
            </w:tcMar>
            <w:vAlign w:val="center"/>
          </w:tcPr>
          <w:tbl>
            <w:tblPr>
              <w:tblW w:w="15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500"/>
            </w:tblGrid>
            <w:tr>
              <w:trPr>
                <w:cantSplit/>
              </w:trPr>
              <w:tc>
                <w:tcPr>
                  <w:tcW w:w="1500" w:type="dxa"/>
                  <w:tcBorders>
                    <w:top w:val="nil"/>
                    <w:left w:val="nil"/>
                    <w:bottom w:val="nil"/>
                    <w:right w:val="nil"/>
                  </w:tcBorders>
                  <w:shd w:val="clear" w:color="auto" w:fill="F20530"/>
                  <w:tcMar>
                    <w:top w:w="60" w:type="dxa"/>
                    <w:left w:w="60" w:type="dxa"/>
                    <w:bottom w:w="60" w:type="dxa"/>
                    <w:right w:w="60" w:type="dxa"/>
                  </w:tcMar>
                  <w:vAlign w:val="center"/>
                </w:tcPr>
                <w:p>
                  <w:pPr>
                    <w:keepLines/>
                    <w:spacing w:before="0" w:after="0" w:line="230" w:lineRule="auto"/>
                    <w:ind w:left="0" w:right="0" w:hanging="0"/>
                    <w:jc w:val="center"/>
                  </w:pPr>
                  <w:r>
                    <w:rPr>
                      <w:rFonts w:ascii="IBM Plex Sans" w:hAnsi="IBM Plex Sans" w:cs="IBM Plex Sans"/>
                      <w:b/>
                      <w:caps/>
                      <w:spacing w:val="10"/>
                      <w:color w:val="FFFFFF"/>
                      <w:sz w:val="15"/>
                      <w:szCs w:val="15"/>
                    </w:rPr>
                    <w:t xml:space="preserve">Falta</w:t>
                  </w:r>
                </w:p>
              </w:tc>
            </w:tr>
          </w:tbl>
        </w:tc>
        <w:tc>
          <w:tcPr>
            <w:tcW w:w="494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Evaluar </w:t>
            </w:r>
            <w:r>
              <w:rPr>
                <w:rFonts w:ascii="IBM Plex Sans" w:hAnsi="IBM Plex Sans" w:cs="IBM Plex Sans"/>
                <w:b/>
                <w:color w:val="0C2649"/>
                <w:sz w:val="18"/>
                <w:szCs w:val="18"/>
              </w:rPr>
              <w:t xml:space="preserve">exclusión de jornada</w:t>
            </w:r>
            <w:r>
              <w:rPr>
                <w:rFonts w:ascii="IBM Plex Sans" w:hAnsi="IBM Plex Sans" w:cs="IBM Plex Sans"/>
                <w:color w:val="2C2C2C"/>
                <w:sz w:val="18"/>
                <w:szCs w:val="18"/>
              </w:rPr>
              <w:t xml:space="preserve"> (Art. 22 inc. 2) por el cargo de administradora</w:t>
            </w:r>
          </w:p>
        </w:tc>
      </w:tr>
      <w:tr>
        <w:trPr>
          <w:cantSplit/>
        </w:trPr>
        <w:tc>
          <w:tcPr>
            <w:tcW w:w="3500" w:type="dxa"/>
            <w:tcBorders>
              <w:top w:val="nil"/>
              <w:left w:val="nil"/>
              <w:bottom w:val="single" w:sz="4" w:space="0" w:color="E6EAF1"/>
              <w:right w:val="nil"/>
            </w:tcBorders>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b/>
                <w:color w:val="0C2649"/>
                <w:sz w:val="18"/>
                <w:szCs w:val="18"/>
              </w:rPr>
              <w:t xml:space="preserve">Pago de haberes adeudados</w:t>
            </w:r>
          </w:p>
        </w:tc>
        <w:tc>
          <w:tcPr>
            <w:tcW w:w="1640" w:type="dxa"/>
            <w:tcBorders>
              <w:top w:val="nil"/>
              <w:left w:val="nil"/>
              <w:bottom w:val="single" w:sz="4" w:space="0" w:color="E6EAF1"/>
              <w:right w:val="nil"/>
            </w:tcBorders>
            <w:tcMar>
              <w:top w:w="110" w:type="dxa"/>
              <w:left w:w="70" w:type="dxa"/>
              <w:bottom w:w="110" w:type="dxa"/>
              <w:right w:w="70" w:type="dxa"/>
            </w:tcMar>
            <w:vAlign w:val="center"/>
          </w:tcPr>
          <w:tbl>
            <w:tblPr>
              <w:tblW w:w="15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500"/>
            </w:tblGrid>
            <w:tr>
              <w:trPr>
                <w:cantSplit/>
              </w:trPr>
              <w:tc>
                <w:tcPr>
                  <w:tcW w:w="1500" w:type="dxa"/>
                  <w:tcBorders>
                    <w:top w:val="nil"/>
                    <w:left w:val="nil"/>
                    <w:bottom w:val="nil"/>
                    <w:right w:val="nil"/>
                  </w:tcBorders>
                  <w:shd w:val="clear" w:color="auto" w:fill="C5E3EF"/>
                  <w:tcMar>
                    <w:top w:w="60" w:type="dxa"/>
                    <w:left w:w="60" w:type="dxa"/>
                    <w:bottom w:w="60" w:type="dxa"/>
                    <w:right w:w="60" w:type="dxa"/>
                  </w:tcMar>
                  <w:vAlign w:val="center"/>
                </w:tcPr>
                <w:p>
                  <w:pPr>
                    <w:keepLines/>
                    <w:spacing w:before="0" w:after="0" w:line="230" w:lineRule="auto"/>
                    <w:ind w:left="0" w:right="0" w:hanging="0"/>
                    <w:jc w:val="center"/>
                  </w:pPr>
                  <w:r>
                    <w:rPr>
                      <w:rFonts w:ascii="IBM Plex Sans" w:hAnsi="IBM Plex Sans" w:cs="IBM Plex Sans"/>
                      <w:b/>
                      <w:caps/>
                      <w:spacing w:val="10"/>
                      <w:color w:val="0C2649"/>
                      <w:sz w:val="15"/>
                      <w:szCs w:val="15"/>
                    </w:rPr>
                    <w:t xml:space="preserve">En el acuerdo</w:t>
                  </w:r>
                </w:p>
              </w:tc>
            </w:tr>
          </w:tbl>
        </w:tc>
        <w:tc>
          <w:tcPr>
            <w:tcW w:w="4940" w:type="dxa"/>
            <w:tcBorders>
              <w:top w:val="nil"/>
              <w:left w:val="nil"/>
              <w:bottom w:val="single" w:sz="4" w:space="0" w:color="E6EAF1"/>
              <w:right w:val="nil"/>
            </w:tcBorders>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Es el pago de julio + feriado</w:t>
            </w:r>
          </w:p>
        </w:tc>
      </w:tr>
      <w:tr>
        <w:trPr>
          <w:cantSplit/>
        </w:trPr>
        <w:tc>
          <w:tcPr>
            <w:tcW w:w="350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b/>
                <w:color w:val="0C2649"/>
                <w:sz w:val="18"/>
                <w:szCs w:val="18"/>
              </w:rPr>
              <w:t xml:space="preserve">Poder para comparecer (si va mandatario)</w:t>
            </w:r>
          </w:p>
        </w:tc>
        <w:tc>
          <w:tcPr>
            <w:tcW w:w="1640" w:type="dxa"/>
            <w:tcBorders>
              <w:top w:val="nil"/>
              <w:left w:val="nil"/>
              <w:bottom w:val="single" w:sz="4" w:space="0" w:color="E6EAF1"/>
              <w:right w:val="nil"/>
            </w:tcBorders>
            <w:shd w:val="clear" w:color="auto" w:fill="F7F8FA"/>
            <w:tcMar>
              <w:top w:w="110" w:type="dxa"/>
              <w:left w:w="70" w:type="dxa"/>
              <w:bottom w:w="110" w:type="dxa"/>
              <w:right w:w="70" w:type="dxa"/>
            </w:tcMar>
            <w:vAlign w:val="center"/>
          </w:tcPr>
          <w:tbl>
            <w:tblPr>
              <w:tblW w:w="15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500"/>
            </w:tblGrid>
            <w:tr>
              <w:trPr>
                <w:cantSplit/>
              </w:trPr>
              <w:tc>
                <w:tcPr>
                  <w:tcW w:w="1500" w:type="dxa"/>
                  <w:tcBorders>
                    <w:top w:val="nil"/>
                    <w:left w:val="nil"/>
                    <w:bottom w:val="nil"/>
                    <w:right w:val="nil"/>
                  </w:tcBorders>
                  <w:shd w:val="clear" w:color="auto" w:fill="0C2649"/>
                  <w:tcMar>
                    <w:top w:w="60" w:type="dxa"/>
                    <w:left w:w="60" w:type="dxa"/>
                    <w:bottom w:w="60" w:type="dxa"/>
                    <w:right w:w="60" w:type="dxa"/>
                  </w:tcMar>
                  <w:vAlign w:val="center"/>
                </w:tcPr>
                <w:p>
                  <w:pPr>
                    <w:keepLines/>
                    <w:spacing w:before="0" w:after="0" w:line="230" w:lineRule="auto"/>
                    <w:ind w:left="0" w:right="0" w:hanging="0"/>
                    <w:jc w:val="center"/>
                  </w:pPr>
                  <w:r>
                    <w:rPr>
                      <w:rFonts w:ascii="IBM Plex Sans" w:hAnsi="IBM Plex Sans" w:cs="IBM Plex Sans"/>
                      <w:b/>
                      <w:caps/>
                      <w:spacing w:val="10"/>
                      <w:color w:val="FFFFFF"/>
                      <w:sz w:val="15"/>
                      <w:szCs w:val="15"/>
                    </w:rPr>
                    <w:t xml:space="preserve">Preparar</w:t>
                  </w:r>
                </w:p>
              </w:tc>
            </w:tr>
          </w:tbl>
        </w:tc>
        <w:tc>
          <w:tcPr>
            <w:tcW w:w="4940" w:type="dxa"/>
            <w:tcBorders>
              <w:top w:val="nil"/>
              <w:left w:val="nil"/>
              <w:bottom w:val="single" w:sz="4" w:space="0" w:color="E6EAF1"/>
              <w:right w:val="nil"/>
            </w:tcBorders>
            <w:shd w:val="clear" w:color="auto" w:fill="F7F8FA"/>
            <w:tcMar>
              <w:top w:w="110" w:type="dxa"/>
              <w:left w:w="150" w:type="dxa"/>
              <w:bottom w:w="110" w:type="dxa"/>
              <w:right w:w="150" w:type="dxa"/>
            </w:tcMar>
            <w:vAlign w:val="top"/>
          </w:tcPr>
          <w:p>
            <w:pPr>
              <w:keepLines/>
              <w:spacing w:before="0" w:after="0" w:line="250" w:lineRule="auto"/>
              <w:ind w:left="0" w:right="0" w:hanging="0"/>
              <w:jc w:val="left"/>
            </w:pPr>
            <w:r>
              <w:rPr>
                <w:rFonts w:ascii="IBM Plex Sans" w:hAnsi="IBM Plex Sans" w:cs="IBM Plex Sans"/>
                <w:color w:val="2C2C2C"/>
                <w:sz w:val="18"/>
                <w:szCs w:val="18"/>
              </w:rPr>
              <w:t xml:space="preserve">Poder simple del formulario DT </w:t>
            </w:r>
            <w:r>
              <w:rPr>
                <w:rFonts w:ascii="IBM Plex Sans" w:hAnsi="IBM Plex Sans" w:cs="IBM Plex Sans"/>
                <w:b/>
                <w:color w:val="0C2649"/>
                <w:sz w:val="18"/>
                <w:szCs w:val="18"/>
              </w:rPr>
              <w:t xml:space="preserve">con facultad de transigir</w:t>
            </w:r>
            <w:r>
              <w:rPr>
                <w:rFonts w:ascii="IBM Plex Sans" w:hAnsi="IBM Plex Sans" w:cs="IBM Plex Sans"/>
                <w:color w:val="2C2C2C"/>
                <w:sz w:val="18"/>
                <w:szCs w:val="18"/>
              </w:rPr>
              <w:t xml:space="preserve"> + cédula del representante por ambos lados</w:t>
            </w:r>
          </w:p>
        </w:tc>
      </w:tr>
    </w:tbl>
    <w:p>
      <w:pPr>
        <w:spacing w:before="0" w:after="24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0C2649"/>
            <w:tcMar>
              <w:top w:w="200" w:type="dxa"/>
              <w:left w:w="260" w:type="dxa"/>
              <w:bottom w:w="200" w:type="dxa"/>
              <w:right w:w="260" w:type="dxa"/>
            </w:tcMar>
            <w:vAlign w:val="top"/>
          </w:tcPr>
          <w:p>
            <w:pPr>
              <w:keepNext/>
              <w:keepLines/>
              <w:spacing w:before="0" w:after="80" w:line="230" w:lineRule="auto"/>
              <w:ind w:left="0" w:right="0" w:hanging="0"/>
            </w:pPr>
            <w:r>
              <w:rPr>
                <w:rFonts w:ascii="IBM Plex Sans" w:hAnsi="IBM Plex Sans" w:cs="IBM Plex Sans"/>
                <w:b/>
                <w:caps/>
                <w:spacing w:val="24"/>
                <w:color w:val="F20530"/>
                <w:sz w:val="15"/>
                <w:szCs w:val="15"/>
              </w:rPr>
              <w:t xml:space="preserve">Prioridad para hoy / mañana</w:t>
            </w:r>
          </w:p>
          <w:p>
            <w:pPr>
              <w:keepLines/>
              <w:spacing w:before="0" w:after="70" w:line="255" w:lineRule="auto"/>
              <w:ind w:left="0" w:right="0" w:hanging="0"/>
            </w:pPr>
            <w:r>
              <w:rPr>
                <w:rFonts w:ascii="IBM Plex Sans" w:hAnsi="IBM Plex Sans" w:cs="IBM Plex Sans"/>
                <w:b/>
                <w:color w:val="C5E3EF"/>
                <w:sz w:val="19"/>
                <w:szCs w:val="19"/>
              </w:rPr>
              <w:t xml:space="preserve">1.  </w:t>
            </w:r>
            <w:r>
              <w:rPr>
                <w:rFonts w:ascii="IBM Plex Sans" w:hAnsi="IBM Plex Sans" w:cs="IBM Plex Sans"/>
                <w:color w:val="FFFFFF"/>
                <w:sz w:val="19"/>
                <w:szCs w:val="19"/>
              </w:rPr>
              <w:t xml:space="preserve">Emitir el finiquito de mutuo acuerdo al 16-07 en triplicado</w:t>
            </w:r>
          </w:p>
          <w:p>
            <w:pPr>
              <w:keepLines/>
              <w:spacing w:before="0" w:after="70" w:line="255" w:lineRule="auto"/>
              <w:ind w:left="0" w:right="0" w:hanging="0"/>
            </w:pPr>
            <w:r>
              <w:rPr>
                <w:rFonts w:ascii="IBM Plex Sans" w:hAnsi="IBM Plex Sans" w:cs="IBM Plex Sans"/>
                <w:b/>
                <w:color w:val="C5E3EF"/>
                <w:sz w:val="19"/>
                <w:szCs w:val="19"/>
              </w:rPr>
              <w:t xml:space="preserve">2.  </w:t>
            </w:r>
            <w:r>
              <w:rPr>
                <w:rFonts w:ascii="IBM Plex Sans" w:hAnsi="IBM Plex Sans" w:cs="IBM Plex Sans"/>
                <w:color w:val="FFFFFF"/>
                <w:sz w:val="19"/>
                <w:szCs w:val="19"/>
              </w:rPr>
              <w:t xml:space="preserve">Liquidación de julio por 16 días</w:t>
            </w:r>
          </w:p>
          <w:p>
            <w:pPr>
              <w:keepLines/>
              <w:spacing w:before="0" w:after="70" w:line="255" w:lineRule="auto"/>
              <w:ind w:left="0" w:right="0" w:hanging="0"/>
            </w:pPr>
            <w:r>
              <w:rPr>
                <w:rFonts w:ascii="IBM Plex Sans" w:hAnsi="IBM Plex Sans" w:cs="IBM Plex Sans"/>
                <w:b/>
                <w:color w:val="C5E3EF"/>
                <w:sz w:val="19"/>
                <w:szCs w:val="19"/>
              </w:rPr>
              <w:t xml:space="preserve">3.  </w:t>
            </w:r>
            <w:r>
              <w:rPr>
                <w:rFonts w:ascii="IBM Plex Sans" w:hAnsi="IBM Plex Sans" w:cs="IBM Plex Sans"/>
                <w:color w:val="FFFFFF"/>
                <w:sz w:val="19"/>
                <w:szCs w:val="19"/>
              </w:rPr>
              <w:t xml:space="preserve">Preparar el pago de cotizaciones de julio</w:t>
            </w:r>
          </w:p>
          <w:p>
            <w:pPr>
              <w:keepLines/>
              <w:spacing w:before="0" w:after="70" w:line="255" w:lineRule="auto"/>
              <w:ind w:left="0" w:right="0" w:hanging="0"/>
            </w:pPr>
            <w:r>
              <w:rPr>
                <w:rFonts w:ascii="IBM Plex Sans" w:hAnsi="IBM Plex Sans" w:cs="IBM Plex Sans"/>
                <w:b/>
                <w:color w:val="C5E3EF"/>
                <w:sz w:val="19"/>
                <w:szCs w:val="19"/>
              </w:rPr>
              <w:t xml:space="preserve">4.  </w:t>
            </w:r>
            <w:r>
              <w:rPr>
                <w:rFonts w:ascii="IBM Plex Sans" w:hAnsi="IBM Plex Sans" w:cs="IBM Plex Sans"/>
                <w:color w:val="FFFFFF"/>
                <w:sz w:val="19"/>
                <w:szCs w:val="19"/>
              </w:rPr>
              <w:t xml:space="preserve">Declaración jurada Ley 21.389</w:t>
            </w:r>
          </w:p>
          <w:p>
            <w:pPr>
              <w:keepLines/>
              <w:spacing w:before="0" w:after="0" w:line="255" w:lineRule="auto"/>
              <w:ind w:left="0" w:right="0" w:hanging="0"/>
            </w:pPr>
            <w:r>
              <w:rPr>
                <w:rFonts w:ascii="IBM Plex Sans" w:hAnsi="IBM Plex Sans" w:cs="IBM Plex Sans"/>
                <w:b/>
                <w:color w:val="C5E3EF"/>
                <w:sz w:val="19"/>
                <w:szCs w:val="19"/>
              </w:rPr>
              <w:t xml:space="preserve">5.  </w:t>
            </w:r>
            <w:r>
              <w:rPr>
                <w:rFonts w:ascii="IBM Plex Sans" w:hAnsi="IBM Plex Sans" w:cs="IBM Plex Sans"/>
                <w:color w:val="FFFFFF"/>
                <w:sz w:val="19"/>
                <w:szCs w:val="19"/>
              </w:rPr>
              <w:t xml:space="preserve">Poder si comparece un tercero</w:t>
            </w:r>
          </w:p>
        </w:tc>
      </w:tr>
    </w:tbl>
    <w:p>
      <w:pPr>
        <w:spacing w:before="0" w:after="50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000"/>
        <w:gridCol w:w="6080"/>
      </w:tblGrid>
      <w:tr>
        <w:trPr>
          <w:cantSplit/>
        </w:trPr>
        <w:tc>
          <w:tcPr>
            <w:tcW w:w="4000" w:type="dxa"/>
            <w:tcBorders>
              <w:top w:val="single" w:sz="24" w:space="0" w:color="F20530"/>
              <w:left w:val="nil"/>
              <w:bottom w:val="nil"/>
              <w:right w:val="nil"/>
            </w:tcBorders>
            <w:tcMar>
              <w:top w:w="190" w:type="dxa"/>
              <w:left w:w="0" w:type="dxa"/>
              <w:bottom w:w="0" w:type="dxa"/>
              <w:right w:w="0" w:type="dxa"/>
            </w:tcMar>
            <w:vAlign w:val="top"/>
          </w:tcPr>
          <w:p>
            <w:pPr>
              <w:keepLines/>
              <w:spacing w:before="0" w:after="0" w:line="276" w:lineRule="auto"/>
              <w:ind w:left="0" w:right="0" w:hanging="0"/>
            </w:pPr>
            <w:r>
              <w:drawing>
                <wp:inline distT="0" distB="0" distL="0" distR="0">
                  <wp:extent cx="742950" cy="200978"/>
                  <wp:effectExtent l="0" t="0" r="0" b="0"/>
                  <wp:docPr id="102" name="Auditable"/>
                  <wp:cNvGraphicFramePr>
                    <a:graphicFrameLocks noChangeAspect="1"/>
                  </wp:cNvGraphicFramePr>
                  <a:graphic>
                    <a:graphicData uri="http://schemas.openxmlformats.org/drawingml/2006/picture">
                      <pic:pic>
                        <pic:nvPicPr>
                          <pic:cNvPr id="102" name="Auditable"/>
                          <pic:cNvPicPr/>
                        </pic:nvPicPr>
                        <pic:blipFill>
                          <a:blip r:embed="rId11"/>
                          <a:stretch>
                            <a:fillRect/>
                          </a:stretch>
                        </pic:blipFill>
                        <pic:spPr>
                          <a:xfrm>
                            <a:off x="0" y="0"/>
                            <a:ext cx="742950" cy="200978"/>
                          </a:xfrm>
                          <a:prstGeom prst="rect">
                            <a:avLst/>
                          </a:prstGeom>
                        </pic:spPr>
                      </pic:pic>
                    </a:graphicData>
                  </a:graphic>
                </wp:inline>
              </w:drawing>
            </w:r>
          </w:p>
        </w:tc>
        <w:tc>
          <w:tcPr>
            <w:tcW w:w="6080" w:type="dxa"/>
            <w:tcBorders>
              <w:top w:val="single" w:sz="24" w:space="0" w:color="F20530"/>
              <w:left w:val="nil"/>
              <w:bottom w:val="nil"/>
              <w:right w:val="nil"/>
            </w:tcBorders>
            <w:tcMar>
              <w:top w:w="220" w:type="dxa"/>
              <w:left w:w="0" w:type="dxa"/>
              <w:bottom w:w="0" w:type="dxa"/>
              <w:right w:w="0" w:type="dxa"/>
            </w:tcMar>
            <w:vAlign w:val="bottom"/>
          </w:tcPr>
          <w:p>
            <w:pPr>
              <w:keepLines/>
              <w:spacing w:before="0" w:after="30" w:line="240" w:lineRule="auto"/>
              <w:ind w:left="0" w:right="0" w:hanging="0"/>
              <w:jc w:val="right"/>
            </w:pPr>
            <w:r>
              <w:rPr>
                <w:rFonts w:ascii="IBM Plex Sans" w:hAnsi="IBM Plex Sans" w:cs="IBM Plex Sans"/>
                <w:color w:val="6B7280"/>
                <w:sz w:val="16"/>
                <w:szCs w:val="16"/>
              </w:rPr>
              <w:t xml:space="preserve">Auditable Soluciones Empresariales</w:t>
            </w:r>
          </w:p>
          <w:p>
            <w:pPr>
              <w:keepLines/>
              <w:spacing w:before="0" w:after="0" w:line="240" w:lineRule="auto"/>
              <w:ind w:left="0" w:right="0" w:hanging="0"/>
              <w:jc w:val="right"/>
            </w:pPr>
            <w:r>
              <w:rPr>
                <w:rFonts w:ascii="IBM Plex Sans" w:hAnsi="IBM Plex Sans" w:cs="IBM Plex Sans"/>
                <w:color w:val="6B7280"/>
                <w:sz w:val="16"/>
                <w:szCs w:val="16"/>
              </w:rPr>
              <w:t xml:space="preserve">Asesoría Tributaria, Contable y Laboral</w:t>
            </w:r>
          </w:p>
        </w:tc>
      </w:tr>
    </w:tbl>
    <w:sectPr>
      <w:footerReference w:type="default" r:id="rId20"/>
      <w:pgSz w:w="12240" w:h="15840" w:orient="portrait"/>
      <w:pgMar w:top="1080" w:right="1080" w:bottom="1080" w:left="1080" w:header="600" w:footer="500" w:gutter="0"/>
      <w:cols w:space="708"/>
      <w:docGrid w:linePitch="360"/>
    </w:sectPr>
  </w:body>
</w:document>
</file>

<file path=word/footer1.xml><?xml version="1.0" encoding="utf-8"?>
<w:ftr xmlns:w="http://schemas.openxmlformats.org/wordprocessingml/2006/main">
  <w:tbl>
    <w:tblPr>
      <w:tblW w:w="10080" w:type="dxa"/>
      <w:tblLayout w:type="fixed"/>
      <w:tblBorders>
        <w:top w:val="single" w:sz="8" w:space="0" w:color="E6EAF1"/>
        <w:left w:val="nil"/>
        <w:bottom w:val="nil"/>
        <w:right w:val="nil"/>
        <w:insideH w:val="nil"/>
        <w:insideV w:val="nil"/>
      </w:tblBorders>
      <w:tblCellMar>
        <w:left w:w="0" w:type="dxa"/>
        <w:right w:w="0" w:type="dxa"/>
      </w:tblCellMar>
    </w:tblPr>
    <w:tblGrid>
      <w:gridCol w:w="8080"/>
      <w:gridCol w:w="2000"/>
    </w:tblGrid>
    <w:tr>
      <w:tc>
        <w:tcPr>
          <w:tcW w:w="8080" w:type="dxa"/>
          <w:tcMar>
            <w:top w:w="100" w:type="dxa"/>
          </w:tcMar>
        </w:tcPr>
        <w:p>
          <w:pPr>
            <w:keepLines/>
            <w:spacing w:before="0" w:after="0" w:line="220" w:lineRule="auto"/>
            <w:ind w:left="0" w:right="0" w:hanging="0"/>
          </w:pPr>
          <w:r>
            <w:rPr>
              <w:rFonts w:ascii="IBM Plex Sans" w:hAnsi="IBM Plex Sans" w:cs="IBM Plex Sans"/>
              <w:color w:val="6B7280"/>
              <w:sz w:val="15"/>
              <w:szCs w:val="15"/>
            </w:rPr>
            <w:t xml:space="preserve">Informe de Escenarios · Citación DT 515/2026/6713 · PIVEXA Ingeniería SpA</w:t>
          </w:r>
        </w:p>
      </w:tc>
      <w:tc>
        <w:tcPr>
          <w:tcW w:w="2000" w:type="dxa"/>
          <w:tcMar>
            <w:top w:w="100" w:type="dxa"/>
          </w:tcMar>
        </w:tcPr>
        <w:p>
          <w:pPr>
            <w:spacing w:after="0" w:line="220" w:lineRule="auto"/>
            <w:jc w:val="right"/>
          </w:pPr>
          <w:r>
            <w:rPr>
              <w:rFonts w:ascii="IBM Plex Sans" w:hAnsi="IBM Plex Sans" w:cs="IBM Plex Sans"/>
              <w:b/>
              <w:color w:val="0C2649"/>
              <w:sz w:val="15"/>
              <w:szCs w:val="15"/>
            </w:rPr>
            <w:t xml:space="preserve">Auditable  ·  </w:t>
          </w:r>
          <w:r>
            <w:rPr>
              <w:rFonts w:ascii="IBM Plex Sans" w:hAnsi="IBM Plex Sans"/>
              <w:color w:val="6B7280"/>
              <w:sz w:val="15"/>
            </w:rPr>
            <w:fldChar w:fldCharType="begin"/>
          </w:r>
          <w:r>
            <w:rPr>
              <w:color w:val="6B7280"/>
              <w:sz w:val="15"/>
            </w:rPr>
            <w:instrText xml:space="preserve"> PAGE </w:instrText>
          </w:r>
          <w:r>
            <w:rPr>
              <w:color w:val="6B7280"/>
              <w:sz w:val="15"/>
            </w:rPr>
            <w:fldChar w:fldCharType="separate"/>
          </w:r>
          <w:r>
            <w:rPr>
              <w:color w:val="6B7280"/>
              <w:sz w:val="15"/>
            </w:rPr>
            <w:t>1</w:t>
          </w:r>
          <w:r>
            <w:rPr>
              <w:color w:val="6B7280"/>
              <w:sz w:val="15"/>
            </w:rPr>
            <w:fldChar w:fldCharType="end"/>
          </w:r>
        </w:p>
      </w:tc>
    </w:tr>
  </w:tbl>
  <w:p>
    <w:pPr>
      <w:spacing w:after="0" w:line="20" w:lineRule="exact"/>
    </w:pPr>
  </w:p>
</w:ftr>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IBM Plex Sans" w:hAnsi="IBM Plex Sans" w:cs="IBM Plex Sans"/>
        <w:color w:val="2C2C2C"/>
        <w:sz w:val="20"/>
        <w:szCs w:val="20"/>
        <w:lang w:val="es-CL"/>
      </w:rPr>
    </w:rPrDefault>
    <w:pPrDefault>
      <w:pPr>
        <w:spacing w:after="120" w:line="276"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10" Type="http://schemas.openxmlformats.org/officeDocument/2006/relationships/image" Target="media/logo-neg.png"/><Relationship Id="rId11" Type="http://schemas.openxmlformats.org/officeDocument/2006/relationships/image" Target="media/logo-red.png"/><Relationship Id="rId20" Type="http://schemas.openxmlformats.org/officeDocument/2006/relationships/footer" Target="footer1.xml"/></Relationships>
</file>