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-1008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12240"/>
      </w:tblGrid>
      <w:tr>
        <w:trPr>
          <w:cantSplit/>
        </w:trPr>
        <w:tc>
          <w:tcPr>
            <w:tcW w:w="12240" w:type="dxa"/>
            <w:shd w:val="clear" w:color="auto" w:fill="0C2649"/>
            <w:tcMar>
              <w:top w:w="560" w:type="dxa"/>
              <w:left w:w="1008" w:type="dxa"/>
              <w:bottom w:w="560" w:type="dxa"/>
              <w:right w:w="1008" w:type="dxa"/>
            </w:tcMar>
            <w:vAlign w:val="top"/>
          </w:tcPr>
          <w:p>
            <w:pPr>
              <w:spacing w:before="0" w:after="420" w:line="300" w:lineRule="auto"/>
            </w:pPr>
            <w:r>
              <w:drawing>
                <wp:inline distT="0" distB="0" distL="0" distR="0">
                  <wp:extent cx="960120" cy="253238"/>
                  <wp:effectExtent l="0" t="0" r="0" b="0"/>
                  <wp:docPr id="101" name="Auditab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Auditabl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5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top w:val="single" w:sz="30" w:space="0" w:color="F20530"/>
              </w:pBdr>
              <w:spacing w:before="0" w:after="150" w:line="20" w:lineRule="exact"/>
              <w:ind w:right="9500"/>
            </w:pPr>
          </w:p>
          <w:p>
            <w:pPr>
              <w:spacing w:before="220" w:after="120" w:line="240" w:lineRule="auto"/>
            </w:pPr>
            <w:r>
              <w:rPr>
                <w:rFonts w:ascii="IBM Plex Sans" w:hAnsi="IBM Plex Sans" w:cs="IBM Plex Sans"/>
                <w:b/>
                <w:spacing w:val="32"/>
                <w:color w:val="F20530"/>
                <w:sz w:val="17"/>
                <w:szCs w:val="17"/>
              </w:rPr>
              <w:t xml:space="preserve">COTIZACIÓN DE SERVICIOS PROFESIONALES</w:t>
            </w:r>
          </w:p>
          <w:p>
            <w:pPr>
              <w:spacing w:before="0" w:after="0" w:line="280" w:lineRule="auto"/>
            </w:pPr>
            <w:r>
              <w:rPr>
                <w:rFonts w:ascii="IBM Plex Serif" w:hAnsi="IBM Plex Serif" w:cs="IBM Plex Serif"/>
                <w:b/>
                <w:color w:val="FFFFFF"/>
                <w:sz w:val="50"/>
                <w:szCs w:val="50"/>
              </w:rPr>
              <w:t xml:space="preserve">Auditoría de Existencias y Contraste</w:t>
            </w:r>
            <w:r>
              <w:br/>
            </w:r>
            <w:r>
              <w:rPr>
                <w:rFonts w:ascii="IBM Plex Serif" w:hAnsi="IBM Plex Serif" w:cs="IBM Plex Serif"/>
                <w:b/>
                <w:color w:val="FFFFFF"/>
                <w:sz w:val="50"/>
                <w:szCs w:val="50"/>
              </w:rPr>
              <w:t xml:space="preserve">Financiero-Tributario-Operacional</w:t>
            </w:r>
          </w:p>
        </w:tc>
      </w:tr>
    </w:tbl>
    <w:p>
      <w:pPr>
        <w:spacing w:before="0" w:after="300" w:line="20" w:lineRule="exact"/>
      </w:pP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5112"/>
        <w:gridCol w:w="5112"/>
      </w:tblGrid>
      <w:tr>
        <w:trPr>
          <w:cantSplit/>
        </w:trPr>
        <w:tc>
          <w:tcPr>
            <w:tcW w:w="5112" w:type="dxa"/>
            <w:tcBorders>
              <w:top w:val="single" w:sz="6" w:space="0" w:color="E6EAF1"/>
              <w:left w:val="single" w:sz="6" w:space="0" w:color="E6EAF1"/>
              <w:bottom w:val="single" w:sz="6" w:space="0" w:color="E6EAF1"/>
              <w:right w:val="single" w:sz="6" w:space="0" w:color="E6EAF1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top"/>
          </w:tcPr>
          <w:p>
            <w:pPr>
              <w:keepNext/>
              <w:keepLines/>
              <w:spacing w:before="0" w:after="120" w:line="240" w:lineRule="auto"/>
            </w:pPr>
            <w:r>
              <w:rPr>
                <w:rFonts w:ascii="IBM Plex Sans" w:hAnsi="IBM Plex Sans" w:cs="IBM Plex Sans"/>
                <w:b/>
                <w:spacing w:val="26"/>
                <w:color w:val="F20530"/>
                <w:sz w:val="16"/>
                <w:szCs w:val="16"/>
              </w:rPr>
              <w:t xml:space="preserve">OFERENTE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Auditable Consultores Ltda.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RUT: 77.682.681-2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Giro: Servicios de auditoría, contabilidad y asesoría tributaria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Profesional responsable: Nicolás Muñoz Valdebenito — Contador Auditor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Domicilio: Viña del Mar, Región de Valparaíso</w:t>
            </w:r>
          </w:p>
          <w:p>
            <w:pPr>
              <w:keepNext/>
              <w:keepLines/>
              <w:spacing w:before="0" w:after="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Contacto: contacto@auditable.cl</w:t>
            </w:r>
          </w:p>
        </w:tc>
        <w:tc>
          <w:tcPr>
            <w:tcW w:w="5112" w:type="dxa"/>
            <w:tcBorders>
              <w:top w:val="single" w:sz="6" w:space="0" w:color="E6EAF1"/>
              <w:left w:val="single" w:sz="6" w:space="0" w:color="E6EAF1"/>
              <w:bottom w:val="single" w:sz="6" w:space="0" w:color="E6EAF1"/>
              <w:right w:val="single" w:sz="6" w:space="0" w:color="E6EAF1"/>
            </w:tcBorders>
            <w:tcMar>
              <w:top w:w="250" w:type="dxa"/>
              <w:left w:w="250" w:type="dxa"/>
              <w:bottom w:w="250" w:type="dxa"/>
              <w:right w:w="250" w:type="dxa"/>
            </w:tcMar>
            <w:vAlign w:val="top"/>
          </w:tcPr>
          <w:p>
            <w:pPr>
              <w:keepNext/>
              <w:keepLines/>
              <w:spacing w:before="0" w:after="120" w:line="240" w:lineRule="auto"/>
            </w:pPr>
            <w:r>
              <w:rPr>
                <w:rFonts w:ascii="IBM Plex Sans" w:hAnsi="IBM Plex Sans" w:cs="IBM Plex Sans"/>
                <w:b/>
                <w:spacing w:val="26"/>
                <w:color w:val="0C2649"/>
                <w:sz w:val="16"/>
                <w:szCs w:val="16"/>
              </w:rPr>
              <w:t xml:space="preserve">CLIENTE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Supletech SpA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RUT: 76.288.876-9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Giro: Distribución de suplementos alimenticios y deportivos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Contacto: Sr. Lovro Tomicic — Gerente General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Centros: CD-Viña del Mar (≈400 SKU) y CD-Renca (≈300 SKU)</w:t>
            </w:r>
          </w:p>
          <w:p>
            <w:pPr>
              <w:keepLines/>
              <w:spacing w:before="0" w:after="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Correo: lovro@supletech.cl</w:t>
            </w:r>
          </w:p>
        </w:tc>
      </w:tr>
    </w:tbl>
    <w:p>
      <w:pPr>
        <w:spacing w:before="0" w:after="300" w:line="20" w:lineRule="exact"/>
      </w:pP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10224"/>
      </w:tblGrid>
      <w:tr>
        <w:trPr>
          <w:cantSplit/>
        </w:trPr>
        <w:tc>
          <w:tcPr>
            <w:tcW w:w="10224" w:type="dxa"/>
            <w:shd w:val="clear" w:color="auto" w:fill="E6EAF1"/>
            <w:tcMar>
              <w:top w:w="250" w:type="dxa"/>
              <w:left w:w="260" w:type="dxa"/>
              <w:bottom w:w="250" w:type="dxa"/>
              <w:right w:w="260" w:type="dxa"/>
            </w:tcMar>
            <w:vAlign w:val="top"/>
          </w:tcPr>
          <w:p>
            <w:pPr>
              <w:keepNext/>
              <w:keepLines/>
              <w:spacing w:before="0" w:after="110" w:line="240" w:lineRule="auto"/>
            </w:pPr>
            <w:r>
              <w:rPr>
                <w:rFonts w:ascii="IBM Plex Sans" w:hAnsi="IBM Plex Sans" w:cs="IBM Plex Sans"/>
                <w:b/>
                <w:spacing w:val="26"/>
                <w:color w:val="F20530"/>
                <w:sz w:val="16"/>
                <w:szCs w:val="16"/>
              </w:rPr>
              <w:t xml:space="preserve">MATERIA</w:t>
            </w:r>
          </w:p>
          <w:p>
            <w:pPr>
              <w:keepLines/>
              <w:spacing w:before="0" w:after="0" w:line="300" w:lineRule="auto"/>
              <w:jc w:val="both"/>
            </w:pPr>
            <w:r>
              <w:rPr>
                <w:rFonts w:ascii="IBM Plex Sans" w:hAnsi="IBM Plex Sans" w:cs="IBM Plex Sans"/>
                <w:color w:val="1A1A1A"/>
                <w:sz w:val="21"/>
                <w:szCs w:val="21"/>
              </w:rPr>
              <w:t xml:space="preserve">Servicio de auditoría de existencias enfocado en el análisis de estados financieros, la detección de pérdidas y errores de proceso, y el contraste entre la información financiero-contable y lo ejecutado por el área operacional, para los centros CD-Viña y CD-Renca, de septiembre a diciembre de 2026.</w:t>
            </w:r>
          </w:p>
        </w:tc>
      </w:tr>
    </w:tbl>
    <w:p>
      <w:pPr>
        <w:spacing w:before="0" w:after="320" w:line="20" w:lineRule="exact"/>
      </w:pPr>
    </w:p>
    <w:p>
      <w:pPr>
        <w:spacing w:before="0" w:after="20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Estimado Lovro Tomicic:</w:t>
      </w:r>
    </w:p>
    <w:p>
      <w:pPr>
        <w:spacing w:before="0" w:after="3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Nuestro rol será auditar: analizar los estados financieros, detectar pérdidas y errores de proceso, y contrastar la información financiera y contable con lo efectivamente ejecutado por el área operacional. Actuamos como contraparte técnica independiente que valida los inventarios inhouse y los conteos de la empresa externa, y traduce sus resultados en hallazgos, ajustes y respaldo tributario.</w:t>
      </w: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01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Objetivo del servicio</w:t>
      </w:r>
    </w:p>
    <w:p>
      <w:pPr>
        <w:keepNext/>
        <w:keepLines/>
        <w:spacing w:before="0" w:after="14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Proveer un servicio profesional e independiente de auditoría de existencias, enfocado en: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Analizar los estados financieros y su consistencia con las existencias registradas;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Detectar pérdidas, faltantes y errores de proceso, distinguiendo merma legítima de fuga por control deficiente;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Contrastar la información financiero-contable con la ejecución operacional (inventarios inhouse y conteos externos); y</w:t>
      </w:r>
    </w:p>
    <w:p>
      <w:pPr>
        <w:keepLines/>
        <w:tabs>
          <w:tab w:val="left" w:pos="284"/>
        </w:tabs>
        <w:spacing w:before="0" w:after="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Asegurar el correcto tratamiento contable y tributario de las diferencias al cierre del ejercicio.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02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Alcance del servicio</w:t>
      </w:r>
    </w:p>
    <w:p>
      <w:pPr>
        <w:keepNext/>
        <w:keepLines/>
        <w:spacing w:before="0" w:after="1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El servicio se estructura en tres fases a lo largo de cuatro meses (septiembre a diciembre de 2026):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2450"/>
        <w:gridCol w:w="1650"/>
        <w:gridCol w:w="6124"/>
      </w:tblGrid>
      <w:tr>
        <w:trPr>
          <w:cantSplit/>
          <w:tblHeader/>
        </w:trPr>
        <w:tc>
          <w:tcPr>
            <w:tcW w:w="2450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w="1650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Periodo</w:t>
            </w:r>
          </w:p>
        </w:tc>
        <w:tc>
          <w:tcPr>
            <w:tcW w:w="6124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Actividades clave</w:t>
            </w:r>
          </w:p>
        </w:tc>
      </w:tr>
      <w:tr>
        <w:trPr>
          <w:cantSplit/>
        </w:trPr>
        <w:tc>
          <w:tcPr>
            <w:tcW w:w="24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Fase 0 — Diagnóstico</w:t>
            </w:r>
          </w:p>
        </w:tc>
        <w:tc>
          <w:tcPr>
            <w:tcW w:w="16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Septiembre</w:t>
            </w:r>
          </w:p>
        </w:tc>
        <w:tc>
          <w:tcPr>
            <w:tcW w:w="612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Levantamiento del proceso operacional y de control; definición de la línea base; diseño del protocolo de contraste entre los inventarios inhouse, los conteos de la empresa externa y los registros contables y financieros.</w:t>
            </w:r>
          </w:p>
        </w:tc>
      </w:tr>
      <w:tr>
        <w:trPr>
          <w:cantSplit/>
        </w:trPr>
        <w:tc>
          <w:tcPr>
            <w:tcW w:w="245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Fase 1 — Auditoría en régimen</w:t>
            </w:r>
          </w:p>
        </w:tc>
        <w:tc>
          <w:tcPr>
            <w:tcW w:w="165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Sept. – Nov.</w:t>
            </w:r>
          </w:p>
        </w:tc>
        <w:tc>
          <w:tcPr>
            <w:tcW w:w="612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Recepción y validación de los inventarios inhouse mensuales y de los contrastes externos; conciliación físico-contable-financiera; detección de pérdidas y errores de proceso; informe mensual de hallazgos por centro.</w:t>
            </w:r>
          </w:p>
        </w:tc>
      </w:tr>
      <w:tr>
        <w:trPr>
          <w:cantSplit/>
        </w:trPr>
        <w:tc>
          <w:tcPr>
            <w:tcW w:w="24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Fase 2 — Cierre</w:t>
            </w:r>
          </w:p>
        </w:tc>
        <w:tc>
          <w:tcPr>
            <w:tcW w:w="16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Diciembre – Enero</w:t>
            </w:r>
          </w:p>
        </w:tc>
        <w:tc>
          <w:tcPr>
            <w:tcW w:w="612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Consolidación del período; análisis final de estados financieros; tratamiento tributario de mermas (Art. 31 N°3 LIR / NIC 2); informe ejecutivo de cierre.</w:t>
            </w:r>
          </w:p>
        </w:tc>
      </w:tr>
    </w:tbl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03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Metodología de trabajo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Diagnóstico y línea base: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mapeo del proceso operacional, los controles existentes y los puntos de fuga.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Validación de conteos: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revisión de los inventarios inhouse mensuales y de los contrastes de la empresa externa, verificando cobertura, método y consistencia.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Conciliación físico-contable-financiera: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cruce de los conteos con el kárdex, la contabilidad y los estados financieros, y determinación de ajustes.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Análisis de estados financieros: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detección de pérdidas, distorsiones e inconsistencias entre lo contable y lo operacional.</w:t>
      </w:r>
    </w:p>
    <w:p>
      <w:pPr>
        <w:keepLines/>
        <w:tabs>
          <w:tab w:val="left" w:pos="284"/>
        </w:tabs>
        <w:spacing w:before="0" w:after="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Informe mensual de auditoría: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hallazgos, pérdidas y errores de proceso, KPIs y recomendaciones por centro.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04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Indicadores de éxito (KPIs)</w:t>
      </w:r>
    </w:p>
    <w:p>
      <w:pPr>
        <w:keepNext/>
        <w:keepLines/>
        <w:spacing w:before="0" w:after="1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Todo el servicio se mide contra una línea base levantada en la Fase 0, con metas de mejora mensual: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5012"/>
        <w:gridCol w:w="200"/>
        <w:gridCol w:w="5012"/>
      </w:tblGrid>
      <w:tr>
        <w:trPr>
          <w:cantSplit/>
        </w:trPr>
        <w:tc>
          <w:tcPr>
            <w:tcW w:w="5012" w:type="dxa"/>
            <w:tcBorders>
              <w:left w:val="single" w:sz="18" w:space="0" w:color="F20530"/>
            </w:tcBorders>
            <w:shd w:val="clear" w:color="auto" w:fill="F7F8FA"/>
            <w:tcMar>
              <w:top w:w="180" w:type="dxa"/>
              <w:left w:w="190" w:type="dxa"/>
              <w:bottom w:w="180" w:type="dxa"/>
              <w:right w:w="190" w:type="dxa"/>
            </w:tcMar>
            <w:vAlign w:val="top"/>
          </w:tcPr>
          <w:p>
            <w:pPr>
              <w:keepNext/>
              <w:keepLines/>
              <w:spacing w:before="0" w:after="7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Exactitud de inventario (accuracy %)</w:t>
            </w:r>
          </w:p>
          <w:p>
            <w:pPr>
              <w:keepNext/>
              <w:keepLines/>
              <w:spacing w:before="0" w:after="0" w:line="250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Coincidencia entre conteo físico y registro contable.</w:t>
            </w:r>
          </w:p>
        </w:tc>
        <w:tc>
          <w:tcPr>
            <w:tcW w:w="200" w:type="dxa"/>
            <w:tcMar>
              <w:top w:w="110" w:type="dxa"/>
              <w:left w:w="0" w:type="dxa"/>
              <w:bottom w:w="110" w:type="dxa"/>
              <w:right w:w="0" w:type="dxa"/>
            </w:tcMar>
            <w:vAlign w:val="top"/>
          </w:tcPr>
          <w:p>
            <w:pPr>
              <w:keepNext/>
              <w:keepLines/>
              <w:spacing w:after="0" w:line="20" w:lineRule="exact"/>
            </w:pPr>
          </w:p>
        </w:tc>
        <w:tc>
          <w:tcPr>
            <w:tcW w:w="5012" w:type="dxa"/>
            <w:tcBorders>
              <w:left w:val="single" w:sz="18" w:space="0" w:color="0C2649"/>
            </w:tcBorders>
            <w:shd w:val="clear" w:color="auto" w:fill="F7F8FA"/>
            <w:tcMar>
              <w:top w:w="180" w:type="dxa"/>
              <w:left w:w="190" w:type="dxa"/>
              <w:bottom w:w="180" w:type="dxa"/>
              <w:right w:w="190" w:type="dxa"/>
            </w:tcMar>
            <w:vAlign w:val="top"/>
          </w:tcPr>
          <w:p>
            <w:pPr>
              <w:keepNext/>
              <w:keepLines/>
              <w:spacing w:before="0" w:after="7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Índice de merma (%)</w:t>
            </w:r>
          </w:p>
          <w:p>
            <w:pPr>
              <w:keepNext/>
              <w:keepLines/>
              <w:spacing w:before="0" w:after="0" w:line="250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Sobre ventas y sobre stock valorizado.</w:t>
            </w:r>
          </w:p>
        </w:tc>
      </w:tr>
      <w:tr>
        <w:trPr>
          <w:cantSplit/>
        </w:trPr>
        <w:tc>
          <w:tcPr>
            <w:tcW w:w="5012" w:type="dxa"/>
            <w:tcMar>
              <w:top w:w="11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120" w:line="20" w:lineRule="exact"/>
            </w:pPr>
          </w:p>
        </w:tc>
        <w:tc>
          <w:tcPr>
            <w:tcW w:w="200" w:type="dxa"/>
            <w:tcMar>
              <w:top w:w="110" w:type="dxa"/>
              <w:left w:w="0" w:type="dxa"/>
              <w:bottom w:w="110" w:type="dxa"/>
              <w:right w:w="0" w:type="dxa"/>
            </w:tcMar>
            <w:vAlign w:val="top"/>
          </w:tcPr>
          <w:p>
            <w:pPr>
              <w:keepNext/>
              <w:keepLines/>
              <w:spacing w:after="0" w:line="20" w:lineRule="exact"/>
            </w:pPr>
          </w:p>
        </w:tc>
        <w:tc>
          <w:tcPr>
            <w:tcW w:w="5012" w:type="dxa"/>
            <w:tcMar>
              <w:top w:w="11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120" w:line="20" w:lineRule="exact"/>
            </w:pPr>
          </w:p>
        </w:tc>
      </w:tr>
      <w:tr>
        <w:trPr>
          <w:cantSplit/>
        </w:trPr>
        <w:tc>
          <w:tcPr>
            <w:tcW w:w="5012" w:type="dxa"/>
            <w:tcBorders>
              <w:left w:val="single" w:sz="18" w:space="0" w:color="0C2649"/>
            </w:tcBorders>
            <w:shd w:val="clear" w:color="auto" w:fill="F7F8FA"/>
            <w:tcMar>
              <w:top w:w="180" w:type="dxa"/>
              <w:left w:w="190" w:type="dxa"/>
              <w:bottom w:w="180" w:type="dxa"/>
              <w:right w:w="190" w:type="dxa"/>
            </w:tcMar>
            <w:vAlign w:val="top"/>
          </w:tcPr>
          <w:p>
            <w:pPr>
              <w:keepNext/>
              <w:keepLines/>
              <w:spacing w:before="0" w:after="7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Diferencias financiero-operacionales</w:t>
            </w:r>
          </w:p>
          <w:p>
            <w:pPr>
              <w:keepNext/>
              <w:keepLines/>
              <w:spacing w:before="0" w:after="0" w:line="250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Número y valor de las inconsistencias detectadas entre lo contable y lo ejecutado.</w:t>
            </w:r>
          </w:p>
        </w:tc>
        <w:tc>
          <w:tcPr>
            <w:tcW w:w="200" w:type="dxa"/>
            <w:tcMar>
              <w:top w:w="110" w:type="dxa"/>
              <w:left w:w="0" w:type="dxa"/>
              <w:bottom w:w="110" w:type="dxa"/>
              <w:right w:w="0" w:type="dxa"/>
            </w:tcMar>
            <w:vAlign w:val="top"/>
          </w:tcPr>
          <w:p>
            <w:pPr>
              <w:keepNext/>
              <w:keepLines/>
              <w:spacing w:after="0" w:line="20" w:lineRule="exact"/>
            </w:pPr>
          </w:p>
        </w:tc>
        <w:tc>
          <w:tcPr>
            <w:tcW w:w="5012" w:type="dxa"/>
            <w:tcBorders>
              <w:left w:val="single" w:sz="18" w:space="0" w:color="F20530"/>
            </w:tcBorders>
            <w:shd w:val="clear" w:color="auto" w:fill="F7F8FA"/>
            <w:tcMar>
              <w:top w:w="180" w:type="dxa"/>
              <w:left w:w="190" w:type="dxa"/>
              <w:bottom w:w="180" w:type="dxa"/>
              <w:right w:w="190" w:type="dxa"/>
            </w:tcMar>
            <w:vAlign w:val="top"/>
          </w:tcPr>
          <w:p>
            <w:pPr>
              <w:keepNext/>
              <w:keepLines/>
              <w:spacing w:before="0" w:after="7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Tiempo de cierre de conciliación</w:t>
            </w:r>
          </w:p>
          <w:p>
            <w:pPr>
              <w:keepLines/>
              <w:spacing w:before="0" w:after="0" w:line="250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Días desde la recepción del conteo hasta el ajuste.</w:t>
            </w:r>
          </w:p>
        </w:tc>
      </w:tr>
    </w:tbl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05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Tratamiento contable y tributario de las diferencias</w:t>
      </w:r>
    </w:p>
    <w:p>
      <w:pPr>
        <w:keepLines/>
        <w:spacing w:before="0" w:after="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Las mermas, vencimientos y deterioros propios de un distribuidor de suplementos tienen efectos tributarios relevantes. Auditable acompaña: el castigo de existencias conforme al </w:t>
      </w:r>
      <w:r>
        <w:rPr>
          <w:rFonts w:ascii="IBM Plex Sans" w:hAnsi="IBM Plex Sans" w:cs="IBM Plex Sans"/>
          <w:b/>
          <w:color w:val="2C2C2C"/>
          <w:sz w:val="21"/>
          <w:szCs w:val="21"/>
        </w:rPr>
        <w:t xml:space="preserve">Art. 31 N°3 de la LIR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 y los requisitos de acreditación del SII; la valorización conforme a </w:t>
      </w:r>
      <w:r>
        <w:rPr>
          <w:rFonts w:ascii="IBM Plex Sans" w:hAnsi="IBM Plex Sans" w:cs="IBM Plex Sans"/>
          <w:b/>
          <w:color w:val="2C2C2C"/>
          <w:sz w:val="21"/>
          <w:szCs w:val="21"/>
        </w:rPr>
        <w:t xml:space="preserve">NIC 2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 (costo o valor neto de realización, el menor); y la revisión del efecto en el IVA crédito fiscal de mermas no acreditadas. Este componente convierte el inventario en respaldo tributario defendible.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06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Equipo de trabajo</w:t>
      </w:r>
    </w:p>
    <w:p>
      <w:pPr>
        <w:keepNext/>
        <w:keepLines/>
        <w:spacing w:before="0" w:after="1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El servicio será ejecutado por un equipo de contadores auditores con especialización tributaria, bajo la responsabilidad de Nicolás Muñoz Valdebenito.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3680"/>
        <w:gridCol w:w="6544"/>
      </w:tblGrid>
      <w:tr>
        <w:trPr>
          <w:cantSplit/>
          <w:tblHeader/>
        </w:trPr>
        <w:tc>
          <w:tcPr>
            <w:tcW w:w="3680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Profesional</w:t>
            </w:r>
          </w:p>
        </w:tc>
        <w:tc>
          <w:tcPr>
            <w:tcW w:w="6544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Cargo y formación académica</w:t>
            </w:r>
          </w:p>
        </w:tc>
      </w:tr>
      <w:tr>
        <w:trPr>
          <w:cantSplit/>
        </w:trPr>
        <w:tc>
          <w:tcPr>
            <w:tcW w:w="368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Claudio Castillo Rojas</w:t>
            </w:r>
          </w:p>
        </w:tc>
        <w:tc>
          <w:tcPr>
            <w:tcW w:w="654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Contador Auditor · Magíster en Tributación · Magíster en Derecho</w:t>
            </w:r>
          </w:p>
        </w:tc>
      </w:tr>
      <w:tr>
        <w:trPr>
          <w:cantSplit/>
        </w:trPr>
        <w:tc>
          <w:tcPr>
            <w:tcW w:w="368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Nicolás Muñoz Valdebenito</w:t>
            </w:r>
          </w:p>
        </w:tc>
        <w:tc>
          <w:tcPr>
            <w:tcW w:w="654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Contador Auditor · Magíster en Dirección Tributaria</w:t>
            </w:r>
          </w:p>
        </w:tc>
      </w:tr>
      <w:tr>
        <w:trPr>
          <w:cantSplit/>
        </w:trPr>
        <w:tc>
          <w:tcPr>
            <w:tcW w:w="368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Jose Herrera Castillo</w:t>
            </w:r>
          </w:p>
        </w:tc>
        <w:tc>
          <w:tcPr>
            <w:tcW w:w="654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Contador Auditor · Técnico Informático · Magíster en Dirección Tributaria</w:t>
            </w:r>
          </w:p>
        </w:tc>
      </w:tr>
      <w:tr>
        <w:trPr>
          <w:cantSplit/>
        </w:trPr>
        <w:tc>
          <w:tcPr>
            <w:tcW w:w="368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Franchesca Fuentes</w:t>
            </w:r>
          </w:p>
        </w:tc>
        <w:tc>
          <w:tcPr>
            <w:tcW w:w="654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Contador Auditor</w:t>
            </w:r>
          </w:p>
        </w:tc>
      </w:tr>
    </w:tbl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07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Programación mensual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2650"/>
        <w:gridCol w:w="7574"/>
      </w:tblGrid>
      <w:tr>
        <w:trPr>
          <w:cantSplit/>
          <w:tblHeader/>
        </w:trPr>
        <w:tc>
          <w:tcPr>
            <w:tcW w:w="2650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Mes (2026)</w:t>
            </w:r>
          </w:p>
        </w:tc>
        <w:tc>
          <w:tcPr>
            <w:tcW w:w="7574" w:type="dxa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Trabajo de auditoría</w:t>
            </w:r>
          </w:p>
        </w:tc>
      </w:tr>
      <w:tr>
        <w:trPr>
          <w:cantSplit/>
        </w:trPr>
        <w:tc>
          <w:tcPr>
            <w:tcW w:w="26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Septiembre</w:t>
            </w:r>
          </w:p>
        </w:tc>
        <w:tc>
          <w:tcPr>
            <w:tcW w:w="757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Diagnóstico, protocolo de contraste, auditoría y conciliación del primer ciclo</w:t>
            </w:r>
          </w:p>
        </w:tc>
      </w:tr>
      <w:tr>
        <w:trPr>
          <w:cantSplit/>
        </w:trPr>
        <w:tc>
          <w:tcPr>
            <w:tcW w:w="265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Octubre – Noviembre</w:t>
            </w:r>
          </w:p>
        </w:tc>
        <w:tc>
          <w:tcPr>
            <w:tcW w:w="757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Auditoría, validación del contraste externo y análisis de diferencias</w:t>
            </w:r>
          </w:p>
        </w:tc>
      </w:tr>
      <w:tr>
        <w:trPr>
          <w:cantSplit/>
        </w:trPr>
        <w:tc>
          <w:tcPr>
            <w:tcW w:w="265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left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Diciembre – Enero</w:t>
            </w:r>
          </w:p>
        </w:tc>
        <w:tc>
          <w:tcPr>
            <w:tcW w:w="7574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>
            <w:pPr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Cierre: análisis de estados financieros, tratamiento tributario e informe ejecutivo</w:t>
            </w:r>
          </w:p>
        </w:tc>
      </w:tr>
    </w:tbl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08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Entregables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Informe de diagnóstico de control interno y del proceso operacional (Fase 0), con línea base.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Informe de validación de cada inventario (inhouse y contraste externo).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Planilla de conciliación físico-contable-financiera, con diferencias cuantificadas.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Informe mensual de auditoría: pérdidas, errores de proceso, KPIs y recomendaciones.</w:t>
      </w:r>
    </w:p>
    <w:p>
      <w:pPr>
        <w:keepLines/>
        <w:tabs>
          <w:tab w:val="left" w:pos="284"/>
        </w:tabs>
        <w:spacing w:before="0" w:after="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Informe ejecutivo de cierre con análisis de estados financieros y tratamiento tributario de mermas.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09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Por qué Auditable</w:t>
      </w:r>
    </w:p>
    <w:p>
      <w:pPr>
        <w:keepNext/>
        <w:keepLines/>
        <w:spacing w:before="0" w:after="1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Más allá del servicio, Auditable aporta diferenciales concretos frente a una empresa de conteo tradicional: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10224"/>
      </w:tblGrid>
      <w:tr>
        <w:trPr>
          <w:cantSplit/>
        </w:trPr>
        <w:tc>
          <w:tcPr>
            <w:tcW w:w="10224" w:type="dxa"/>
            <w:tcBorders>
              <w:left w:val="single" w:sz="18" w:space="0" w:color="F20530"/>
            </w:tcBorders>
            <w:shd w:val="clear" w:color="auto" w:fill="F7F8FA"/>
            <w:tcMar>
              <w:top w:w="200" w:type="dxa"/>
              <w:left w:w="220" w:type="dxa"/>
              <w:bottom w:w="200" w:type="dxa"/>
              <w:right w:w="220" w:type="dxa"/>
            </w:tcMar>
            <w:vAlign w:val="top"/>
          </w:tcPr>
          <w:p>
            <w:pPr>
              <w:keepNext/>
              <w:keepLines/>
              <w:spacing w:before="0" w:after="8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20"/>
                <w:szCs w:val="20"/>
              </w:rPr>
              <w:t xml:space="preserve">A la vanguardia en inteligencia artificial</w:t>
            </w:r>
          </w:p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20"/>
                <w:szCs w:val="20"/>
              </w:rPr>
              <w:t xml:space="preserve">Incorporamos herramientas de IA en la auditoría y el análisis de datos, lo que permite procesar grandes volúmenes de información de inventario, detectar patrones y anomalías con mayor rapidez y precisión, y entregar informes más oportunos.</w:t>
            </w:r>
          </w:p>
        </w:tc>
      </w:tr>
    </w:tbl>
    <w:p>
      <w:pPr>
        <w:keepNext/>
        <w:keepLines/>
        <w:spacing w:before="0" w:after="160" w:line="20" w:lineRule="exact"/>
      </w:pP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10224"/>
      </w:tblGrid>
      <w:tr>
        <w:trPr>
          <w:cantSplit/>
        </w:trPr>
        <w:tc>
          <w:tcPr>
            <w:tcW w:w="10224" w:type="dxa"/>
            <w:tcBorders>
              <w:left w:val="single" w:sz="18" w:space="0" w:color="0C2649"/>
            </w:tcBorders>
            <w:shd w:val="clear" w:color="auto" w:fill="F7F8FA"/>
            <w:tcMar>
              <w:top w:w="200" w:type="dxa"/>
              <w:left w:w="220" w:type="dxa"/>
              <w:bottom w:w="200" w:type="dxa"/>
              <w:right w:w="220" w:type="dxa"/>
            </w:tcMar>
            <w:vAlign w:val="top"/>
          </w:tcPr>
          <w:p>
            <w:pPr>
              <w:keepNext/>
              <w:keepLines/>
              <w:spacing w:before="0" w:after="8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20"/>
                <w:szCs w:val="20"/>
              </w:rPr>
              <w:t xml:space="preserve">Somos sus contadores externos</w:t>
            </w:r>
          </w:p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20"/>
                <w:szCs w:val="20"/>
              </w:rPr>
              <w:t xml:space="preserve">Como contadores externos de Supletech, ya conocemos su contabilidad, su operación y su sistema. La auditoría de inventario se integra sin fricción con la conciliación contable, el tratamiento de mermas y el cierre tributario, con una sola contraparte y sin costos de coordinación entre proveedores.</w:t>
            </w:r>
          </w:p>
        </w:tc>
      </w:tr>
    </w:tbl>
    <w:p>
      <w:pPr>
        <w:keepNext/>
        <w:keepLines/>
        <w:spacing w:before="0" w:after="160" w:line="20" w:lineRule="exact"/>
      </w:pP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10224"/>
      </w:tblGrid>
      <w:tr>
        <w:trPr>
          <w:cantSplit/>
        </w:trPr>
        <w:tc>
          <w:tcPr>
            <w:tcW w:w="10224" w:type="dxa"/>
            <w:tcBorders>
              <w:left w:val="single" w:sz="18" w:space="0" w:color="0C2649"/>
            </w:tcBorders>
            <w:shd w:val="clear" w:color="auto" w:fill="F7F8FA"/>
            <w:tcMar>
              <w:top w:w="200" w:type="dxa"/>
              <w:left w:w="220" w:type="dxa"/>
              <w:bottom w:w="200" w:type="dxa"/>
              <w:right w:w="220" w:type="dxa"/>
            </w:tcMar>
            <w:vAlign w:val="top"/>
          </w:tcPr>
          <w:p>
            <w:pPr>
              <w:keepNext/>
              <w:keepLines/>
              <w:spacing w:before="0" w:after="8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20"/>
                <w:szCs w:val="20"/>
              </w:rPr>
              <w:t xml:space="preserve">Dominio de Bsale</w:t>
            </w:r>
          </w:p>
          <w:p>
            <w:pPr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20"/>
                <w:szCs w:val="20"/>
              </w:rPr>
              <w:t xml:space="preserve">Trabajamos directamente con Bsale, su sistema de punto de venta e inventario, extrayendo kárdex, ventas y stock para cruzarlos con los conteos. Esto acelera la conciliación, reduce errores de digitación y asegura la trazabilidad entre el sistema y la realidad de bodega.</w:t>
            </w:r>
          </w:p>
        </w:tc>
      </w:tr>
    </w:tbl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10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Inversión — Plan de Auditoría</w:t>
      </w:r>
    </w:p>
    <w:p>
      <w:pPr>
        <w:keepNext/>
        <w:keepLines/>
        <w:spacing w:before="0" w:after="1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El siguiente plan integral, para el período septiembre a diciembre de 2026, comprende los siguientes servicios (valores exentos de IVA):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420"/>
        <w:gridCol w:w="9804"/>
      </w:tblGrid>
      <w:tr>
        <w:trPr>
          <w:cantSplit/>
          <w:tblHeader/>
        </w:trPr>
        <w:tc>
          <w:tcPr>
            <w:tcW w:w="10224" w:type="dxa"/>
            <w:gridSpan w:val="2"/>
            <w:shd w:val="clear" w:color="auto" w:fill="0C2649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40" w:lineRule="auto"/>
              <w:jc w:val="left"/>
            </w:pPr>
            <w:r>
              <w:rPr>
                <w:rFonts w:ascii="IBM Plex Sans" w:hAnsi="IBM Plex Sans" w:cs="IBM Plex Sans"/>
                <w:b/>
                <w:spacing w:val="8"/>
                <w:color w:val="FFFFFF"/>
                <w:sz w:val="17"/>
                <w:szCs w:val="17"/>
              </w:rPr>
              <w:t xml:space="preserve">Servicios incluidos en el Plan de Auditoría</w:t>
            </w:r>
          </w:p>
        </w:tc>
      </w:tr>
      <w:tr>
        <w:trPr>
          <w:cantSplit/>
        </w:trPr>
        <w:tc>
          <w:tcPr>
            <w:tcW w:w="42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</w:pPr>
            <w:r>
              <w:rPr>
                <w:rFonts w:ascii="IBM Plex Sans" w:hAnsi="IBM Plex Sans" w:cs="IBM Plex Sans"/>
                <w:b/>
                <w:color w:val="F20530"/>
                <w:sz w:val="19"/>
                <w:szCs w:val="19"/>
              </w:rPr>
              <w:t xml:space="preserve">—</w:t>
            </w:r>
          </w:p>
        </w:tc>
        <w:tc>
          <w:tcPr>
            <w:tcW w:w="9804" w:type="dxa"/>
            <w:tcBorders>
              <w:bottom w:val="single" w:sz="4" w:space="0" w:color="E6EAF1"/>
            </w:tcBorders>
            <w:tcMar>
              <w:top w:w="135" w:type="dxa"/>
              <w:left w:w="12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Diagnóstico inicial de control interno y del proceso operacional (Fase 0).</w:t>
            </w:r>
          </w:p>
        </w:tc>
      </w:tr>
      <w:tr>
        <w:trPr>
          <w:cantSplit/>
        </w:trPr>
        <w:tc>
          <w:tcPr>
            <w:tcW w:w="42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</w:pPr>
            <w:r>
              <w:rPr>
                <w:rFonts w:ascii="IBM Plex Sans" w:hAnsi="IBM Plex Sans" w:cs="IBM Plex Sans"/>
                <w:b/>
                <w:color w:val="F20530"/>
                <w:sz w:val="19"/>
                <w:szCs w:val="19"/>
              </w:rPr>
              <w:t xml:space="preserve">—</w:t>
            </w:r>
          </w:p>
        </w:tc>
        <w:tc>
          <w:tcPr>
            <w:tcW w:w="980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2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Auditoría mensual: análisis de estados financieros, conciliación físico-contable, detección de pérdidas y errores de proceso, y contraste operacional vs. contable (incluye revisión del inventario inhouse de ambos CD).</w:t>
            </w:r>
          </w:p>
        </w:tc>
      </w:tr>
      <w:tr>
        <w:trPr>
          <w:cantSplit/>
        </w:trPr>
        <w:tc>
          <w:tcPr>
            <w:tcW w:w="420" w:type="dxa"/>
            <w:tcBorders>
              <w:bottom w:val="single" w:sz="4" w:space="0" w:color="E6EAF1"/>
            </w:tcBorders>
            <w:tcMar>
              <w:top w:w="135" w:type="dxa"/>
              <w:left w:w="150" w:type="dxa"/>
              <w:bottom w:w="135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</w:pPr>
            <w:r>
              <w:rPr>
                <w:rFonts w:ascii="IBM Plex Sans" w:hAnsi="IBM Plex Sans" w:cs="IBM Plex Sans"/>
                <w:b/>
                <w:color w:val="F20530"/>
                <w:sz w:val="19"/>
                <w:szCs w:val="19"/>
              </w:rPr>
              <w:t xml:space="preserve">—</w:t>
            </w:r>
          </w:p>
        </w:tc>
        <w:tc>
          <w:tcPr>
            <w:tcW w:w="9804" w:type="dxa"/>
            <w:tcBorders>
              <w:bottom w:val="single" w:sz="4" w:space="0" w:color="E6EAF1"/>
            </w:tcBorders>
            <w:tcMar>
              <w:top w:w="135" w:type="dxa"/>
              <w:left w:w="12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Validación y contraste técnico de los inventarios de la empresa externa.</w:t>
            </w:r>
          </w:p>
        </w:tc>
      </w:tr>
      <w:tr>
        <w:trPr>
          <w:cantSplit/>
        </w:trPr>
        <w:tc>
          <w:tcPr>
            <w:tcW w:w="420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50" w:type="dxa"/>
              <w:bottom w:w="135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</w:pPr>
            <w:r>
              <w:rPr>
                <w:rFonts w:ascii="IBM Plex Sans" w:hAnsi="IBM Plex Sans" w:cs="IBM Plex Sans"/>
                <w:b/>
                <w:color w:val="F20530"/>
                <w:sz w:val="19"/>
                <w:szCs w:val="19"/>
              </w:rPr>
              <w:t xml:space="preserve">—</w:t>
            </w:r>
          </w:p>
        </w:tc>
        <w:tc>
          <w:tcPr>
            <w:tcW w:w="9804" w:type="dxa"/>
            <w:tcBorders>
              <w:bottom w:val="single" w:sz="4" w:space="0" w:color="E6EAF1"/>
            </w:tcBorders>
            <w:shd w:val="clear" w:color="auto" w:fill="F7F8FA"/>
            <w:tcMar>
              <w:top w:w="135" w:type="dxa"/>
              <w:left w:w="120" w:type="dxa"/>
              <w:bottom w:w="135" w:type="dxa"/>
              <w:right w:w="150" w:type="dxa"/>
            </w:tcMar>
            <w:vAlign w:val="top"/>
          </w:tcPr>
          <w:p>
            <w:pPr>
              <w:keepNext/>
              <w:keepLines/>
              <w:spacing w:before="0" w:after="0" w:line="265" w:lineRule="auto"/>
              <w:jc w:val="both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Tratamiento tributario de mermas e informe de cierre defendible ante el SII (Art. 31 N°3 LIR / NIC 2).</w:t>
            </w:r>
          </w:p>
        </w:tc>
      </w:tr>
      <w:tr>
        <w:trPr>
          <w:cantSplit/>
        </w:trPr>
        <w:tc>
          <w:tcPr>
            <w:tcW w:w="6224" w:type="dxa"/>
            <w:shd w:val="clear" w:color="auto" w:fill="0C2649"/>
            <w:tcMar>
              <w:top w:w="190" w:type="dxa"/>
              <w:left w:w="150" w:type="dxa"/>
              <w:bottom w:w="190" w:type="dxa"/>
              <w:right w:w="150" w:type="dxa"/>
            </w:tcMar>
            <w:vAlign w:val="center"/>
          </w:tcPr>
          <w:p>
            <w:pPr>
              <w:keepNext/>
              <w:keepLines/>
              <w:spacing w:before="0" w:after="0" w:line="265" w:lineRule="auto"/>
            </w:pPr>
            <w:r>
              <w:rPr>
                <w:rFonts w:ascii="IBM Plex Sans" w:hAnsi="IBM Plex Sans" w:cs="IBM Plex Sans"/>
                <w:b/>
                <w:color w:val="FFFFFF"/>
                <w:sz w:val="20"/>
                <w:szCs w:val="20"/>
              </w:rPr>
              <w:t xml:space="preserve">Total a pagar — exento de IVA</w:t>
            </w:r>
          </w:p>
        </w:tc>
        <w:tc>
          <w:tcPr>
            <w:tcW w:w="4000" w:type="dxa"/>
            <w:shd w:val="clear" w:color="auto" w:fill="0C2649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>
            <w:pPr>
              <w:keepNext/>
              <w:keepLines/>
              <w:spacing w:before="0" w:after="0" w:line="265" w:lineRule="auto"/>
              <w:jc w:val="right"/>
            </w:pPr>
            <w:r>
              <w:rPr>
                <w:rFonts w:ascii="IBM Plex Serif" w:hAnsi="IBM Plex Serif" w:cs="IBM Plex Serif"/>
                <w:b/>
                <w:color w:val="FFFFFF"/>
                <w:sz w:val="28"/>
                <w:szCs w:val="28"/>
              </w:rPr>
              <w:t xml:space="preserve">$ 3.600.000</w:t>
            </w:r>
          </w:p>
        </w:tc>
      </w:tr>
    </w:tbl>
    <w:p>
      <w:pPr>
        <w:keepLines/>
        <w:spacing w:before="180" w:after="0" w:line="300" w:lineRule="auto"/>
        <w:jc w:val="both"/>
      </w:pPr>
      <w:r>
        <w:rPr>
          <w:rFonts w:ascii="IBM Plex Sans" w:hAnsi="IBM Plex Sans" w:cs="IBM Plex Sans"/>
          <w:color w:val="2C2C2C"/>
          <w:sz w:val="20"/>
          <w:szCs w:val="20"/>
        </w:rPr>
        <w:t xml:space="preserve">Pago en </w:t>
      </w:r>
      <w:r>
        <w:rPr>
          <w:rFonts w:ascii="IBM Plex Sans" w:hAnsi="IBM Plex Sans" w:cs="IBM Plex Sans"/>
          <w:b/>
          <w:color w:val="2C2C2C"/>
          <w:sz w:val="20"/>
          <w:szCs w:val="20"/>
        </w:rPr>
        <w:t xml:space="preserve">2 cuotas</w:t>
      </w:r>
      <w:r>
        <w:rPr>
          <w:rFonts w:ascii="IBM Plex Sans" w:hAnsi="IBM Plex Sans" w:cs="IBM Plex Sans"/>
          <w:color w:val="2C2C2C"/>
          <w:sz w:val="20"/>
          <w:szCs w:val="20"/>
        </w:rPr>
        <w:t xml:space="preserve"> (exento de IVA): 50% al iniciar el trabajo y 50% restante contra entrega del informe mensual. Pago por el total del contrato, </w:t>
      </w:r>
      <w:r>
        <w:rPr>
          <w:rFonts w:ascii="IBM Plex Sans" w:hAnsi="IBM Plex Sans" w:cs="IBM Plex Sans"/>
          <w:b/>
          <w:color w:val="F20530"/>
          <w:sz w:val="20"/>
          <w:szCs w:val="20"/>
        </w:rPr>
        <w:t xml:space="preserve">10% de descuento</w:t>
      </w:r>
      <w:r>
        <w:rPr>
          <w:rFonts w:ascii="IBM Plex Sans" w:hAnsi="IBM Plex Sans" w:cs="IBM Plex Sans"/>
          <w:color w:val="2C2C2C"/>
          <w:sz w:val="20"/>
          <w:szCs w:val="20"/>
        </w:rPr>
        <w:t xml:space="preserve">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11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Condiciones comerciales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Auditable Consultores Ltda. presta servicios exentos de IVA; los valores indicados son finales, sin impuesto agregado.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El servicio corresponde exclusivamente a la auditoría; la toma de inventarios (inhouse y empresa externa) es de cargo del cliente.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Requisitos: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acceso a los inventarios inhouse y a los informes de la empresa externa, al kárdex / registros del sistema, a los estados financieros y una contraparte por centro.</w:t>
      </w:r>
    </w:p>
    <w:p>
      <w:pPr>
        <w:keepNext/>
        <w:keepLines/>
        <w:tabs>
          <w:tab w:val="left" w:pos="284"/>
        </w:tabs>
        <w:spacing w:before="0" w:after="10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Confidencialidad: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la información del cliente será tratada bajo estricta reserva.</w:t>
      </w:r>
    </w:p>
    <w:p>
      <w:pPr>
        <w:keepLines/>
        <w:tabs>
          <w:tab w:val="left" w:pos="284"/>
        </w:tabs>
        <w:spacing w:before="0" w:after="0" w:line="300" w:lineRule="auto"/>
        <w:ind w:left="284" w:hanging="284"/>
        <w:jc w:val="both"/>
      </w:pPr>
      <w:r>
        <w:rPr>
          <w:rFonts w:ascii="IBM Plex Sans" w:hAnsi="IBM Plex Sans" w:cs="IBM Plex Sans"/>
          <w:b/>
          <w:color w:val="F20530"/>
          <w:sz w:val="21"/>
          <w:szCs w:val="21"/>
        </w:rPr>
        <w:t xml:space="preserve">—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	</w:t>
      </w:r>
      <w:r>
        <w:rPr>
          <w:rFonts w:ascii="IBM Plex Sans" w:hAnsi="IBM Plex Sans" w:cs="IBM Plex Sans"/>
          <w:b/>
          <w:color w:val="0C2649"/>
          <w:sz w:val="21"/>
          <w:szCs w:val="21"/>
        </w:rPr>
        <w:t xml:space="preserve">Vigencia de la cotización: </w:t>
      </w:r>
      <w:r>
        <w:rPr>
          <w:rFonts w:ascii="IBM Plex Sans" w:hAnsi="IBM Plex Sans" w:cs="IBM Plex Sans"/>
          <w:color w:val="2C2C2C"/>
          <w:sz w:val="21"/>
          <w:szCs w:val="21"/>
        </w:rPr>
        <w:t xml:space="preserve">30 días corridos desde su emisión.</w:t>
      </w:r>
    </w:p>
    <w:p>
      <w:pPr>
        <w:spacing w:before="0" w:after="300" w:line="20" w:lineRule="exact"/>
      </w:pPr>
    </w:p>
    <w:p>
      <w:pPr>
        <w:keepNext/>
        <w:keepLines/>
        <w:spacing w:before="0" w:after="160" w:line="260" w:lineRule="auto"/>
      </w:pPr>
      <w:r>
        <w:rPr>
          <w:rFonts w:ascii="IBM Plex Serif" w:hAnsi="IBM Plex Serif" w:cs="IBM Plex Serif"/>
          <w:b/>
          <w:color w:val="F20530"/>
          <w:sz w:val="20"/>
          <w:szCs w:val="20"/>
        </w:rPr>
        <w:t xml:space="preserve">12   </w:t>
      </w:r>
      <w:r>
        <w:rPr>
          <w:rFonts w:ascii="IBM Plex Serif" w:hAnsi="IBM Plex Serif" w:cs="IBM Plex Serif"/>
          <w:b/>
          <w:color w:val="0C2649"/>
          <w:sz w:val="30"/>
          <w:szCs w:val="30"/>
        </w:rPr>
        <w:t xml:space="preserve">Aceptación de la cotización</w:t>
      </w:r>
    </w:p>
    <w:p>
      <w:pPr>
        <w:keepNext/>
        <w:keepLines/>
        <w:spacing w:before="0" w:after="70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En señal de conformidad con el alcance, condiciones y valores antes señalados, el cliente suscribe la presente cotización: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4712"/>
        <w:gridCol w:w="800"/>
        <w:gridCol w:w="4712"/>
      </w:tblGrid>
      <w:tr>
        <w:trPr>
          <w:cantSplit/>
        </w:trPr>
        <w:tc>
          <w:tcPr>
            <w:tcW w:w="4712" w:type="dxa"/>
            <w:tcBorders>
              <w:top w:val="single" w:sz="12" w:space="0" w:color="0C2649"/>
            </w:tcBorders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Nicolás Muñoz Valdebenito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Contador Auditor — Auditable Consultores Ltda.</w:t>
            </w:r>
          </w:p>
          <w:p>
            <w:pPr>
              <w:keepNext/>
              <w:keepLines/>
              <w:spacing w:before="0" w:after="0" w:line="250" w:lineRule="auto"/>
            </w:pPr>
            <w:r>
              <w:rPr>
                <w:rFonts w:ascii="IBM Plex Sans" w:hAnsi="IBM Plex Sans" w:cs="IBM Plex Sans"/>
                <w:caps/>
                <w:spacing w:val="16"/>
                <w:color w:val="6B7280"/>
                <w:sz w:val="17"/>
                <w:szCs w:val="17"/>
              </w:rPr>
              <w:t xml:space="preserve">Oferente</w:t>
            </w:r>
          </w:p>
        </w:tc>
        <w:tc>
          <w:tcPr>
            <w:tcW w:w="800" w:type="dxa"/>
            <w:tcMar>
              <w:top w:w="11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20" w:line="20" w:lineRule="exact"/>
            </w:pPr>
          </w:p>
        </w:tc>
        <w:tc>
          <w:tcPr>
            <w:tcW w:w="4712" w:type="dxa"/>
            <w:tcBorders>
              <w:top w:val="single" w:sz="12" w:space="0" w:color="0C2649"/>
            </w:tcBorders>
            <w:tcMar>
              <w:top w:w="20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b/>
                <w:color w:val="0C2649"/>
                <w:sz w:val="19"/>
                <w:szCs w:val="19"/>
              </w:rPr>
              <w:t xml:space="preserve">Sr. Lovro Tomicic</w:t>
            </w:r>
          </w:p>
          <w:p>
            <w:pPr>
              <w:keepNext/>
              <w:keepLines/>
              <w:spacing w:before="0" w:after="40" w:line="250" w:lineRule="auto"/>
            </w:pPr>
            <w:r>
              <w:rPr>
                <w:rFonts w:ascii="IBM Plex Sans" w:hAnsi="IBM Plex Sans" w:cs="IBM Plex Sans"/>
                <w:color w:val="2C2C2C"/>
                <w:sz w:val="19"/>
                <w:szCs w:val="19"/>
              </w:rPr>
              <w:t xml:space="preserve">Gerente General — Supletech SpA</w:t>
            </w:r>
          </w:p>
          <w:p>
            <w:pPr>
              <w:keepNext/>
              <w:keepLines/>
              <w:spacing w:before="0" w:after="0" w:line="250" w:lineRule="auto"/>
            </w:pPr>
            <w:r>
              <w:rPr>
                <w:rFonts w:ascii="IBM Plex Sans" w:hAnsi="IBM Plex Sans" w:cs="IBM Plex Sans"/>
                <w:caps/>
                <w:spacing w:val="16"/>
                <w:color w:val="6B7280"/>
                <w:sz w:val="17"/>
                <w:szCs w:val="17"/>
              </w:rPr>
              <w:t xml:space="preserve">Cliente — Nombre, firma y fecha</w:t>
            </w:r>
          </w:p>
        </w:tc>
      </w:tr>
    </w:tbl>
    <w:p>
      <w:pPr>
        <w:keepNext/>
        <w:keepLines/>
        <w:spacing w:before="0" w:after="300" w:line="20" w:lineRule="exact"/>
      </w:pPr>
    </w:p>
    <w:p>
      <w:pPr>
        <w:keepNext/>
        <w:keepLines/>
        <w:spacing w:before="0" w:after="260" w:line="300" w:lineRule="auto"/>
        <w:jc w:val="both"/>
      </w:pPr>
      <w:r>
        <w:rPr>
          <w:rFonts w:ascii="IBM Plex Sans" w:hAnsi="IBM Plex Sans" w:cs="IBM Plex Sans"/>
          <w:color w:val="2C2C2C"/>
          <w:sz w:val="21"/>
          <w:szCs w:val="21"/>
        </w:rPr>
        <w:t xml:space="preserve">Agradecemos la oportunidad de participar y quedamos disponibles para sostener la reunión que estime pertinente y ajustar el alcance a sus necesidades específicas.</w:t>
      </w:r>
    </w:p>
    <w:tbl>
      <w:tblPr>
        <w:tblW w:w="10224" w:type="dxa"/>
        <w:tblInd w:w="0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</w:tblPr>
      <w:tblGrid>
        <w:gridCol w:w="4000"/>
        <w:gridCol w:w="6224"/>
      </w:tblGrid>
      <w:tr>
        <w:trPr>
          <w:cantSplit/>
        </w:trPr>
        <w:tc>
          <w:tcPr>
            <w:tcW w:w="4000" w:type="dxa"/>
            <w:tcBorders>
              <w:top w:val="single" w:sz="24" w:space="0" w:color="F20530"/>
            </w:tcBorders>
            <w:tcMar>
              <w:top w:w="22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/>
              <w:keepLines/>
              <w:spacing w:before="0" w:after="0" w:line="300" w:lineRule="auto"/>
            </w:pPr>
            <w:r>
              <w:drawing>
                <wp:inline distT="0" distB="0" distL="0" distR="0">
                  <wp:extent cx="774700" cy="209550"/>
                  <wp:effectExtent l="0" t="0" r="0" b="0"/>
                  <wp:docPr id="102" name="Auditab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Auditabl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7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4" w:type="dxa"/>
            <w:tcBorders>
              <w:top w:val="single" w:sz="24" w:space="0" w:color="F20530"/>
            </w:tcBorders>
            <w:tcMar>
              <w:top w:w="25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keepNext/>
              <w:keepLines/>
              <w:spacing w:before="0" w:after="30" w:line="250" w:lineRule="auto"/>
              <w:jc w:val="right"/>
            </w:pPr>
            <w:r>
              <w:rPr>
                <w:rFonts w:ascii="IBM Plex Sans" w:hAnsi="IBM Plex Sans" w:cs="IBM Plex Sans"/>
                <w:color w:val="6B7280"/>
                <w:sz w:val="17"/>
                <w:szCs w:val="17"/>
              </w:rPr>
              <w:t xml:space="preserve">Auditable Consultores Ltda. · RUT 77.682.681-2</w:t>
            </w:r>
          </w:p>
          <w:p>
            <w:pPr>
              <w:keepLines/>
              <w:spacing w:before="0" w:after="0" w:line="250" w:lineRule="auto"/>
              <w:jc w:val="right"/>
            </w:pPr>
            <w:r>
              <w:rPr>
                <w:rFonts w:ascii="IBM Plex Sans" w:hAnsi="IBM Plex Sans" w:cs="IBM Plex Sans"/>
                <w:color w:val="6B7280"/>
                <w:sz w:val="17"/>
                <w:szCs w:val="17"/>
              </w:rPr>
              <w:t xml:space="preserve">contacto@auditable.cl · Viña del Mar, Región de Valparaíso</w:t>
            </w:r>
          </w:p>
        </w:tc>
      </w:tr>
    </w:tbl>
    <w:sectPr>
      <w:pgSz w:w="12240" w:h="15840"/>
      <w:pgMar w:top="1008" w:right="1008" w:bottom="1008" w:left="1008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IBM Plex Sans" w:hAnsi="IBM Plex Sans" w:cs="IBM Plex Sans"/>
        <w:color w:val="2C2C2C"/>
        <w:sz w:val="21"/>
        <w:szCs w:val="21"/>
        <w:lang w:val="es-CL"/>
      </w:rPr>
    </w:rPrDefault>
    <w:pPrDefault>
      <w:pPr>
        <w:spacing w:after="140" w:line="30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logo-neg.png"/><Relationship Id="rId11" Type="http://schemas.openxmlformats.org/officeDocument/2006/relationships/image" Target="media/logo-red.png"/></Relationships>
</file>