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D8F3" w14:textId="77777777" w:rsidR="00DD1CD2" w:rsidRPr="00472F4D" w:rsidRDefault="00000000">
      <w:pPr>
        <w:pStyle w:val="Title"/>
        <w:rPr>
          <w:rFonts w:ascii="Times New Roman" w:hAnsi="Times New Roman" w:cs="Times New Roman"/>
        </w:rPr>
      </w:pPr>
      <w:r w:rsidRPr="00472F4D">
        <w:rPr>
          <w:rFonts w:ascii="Times New Roman" w:hAnsi="Times New Roman" w:cs="Times New Roman"/>
        </w:rPr>
        <w:t>Clinical Natural Language Technology for Payment Accuracy: NLP, OCR, and RAG-Based Evidence Review in Healthcare</w:t>
      </w:r>
    </w:p>
    <w:p w14:paraId="7EACC002" w14:textId="77777777" w:rsidR="00DD1CD2" w:rsidRPr="00472F4D" w:rsidRDefault="00000000">
      <w:pPr>
        <w:pStyle w:val="FirstParagraph"/>
        <w:rPr>
          <w:rFonts w:ascii="Times New Roman" w:hAnsi="Times New Roman" w:cs="Times New Roman"/>
        </w:rPr>
      </w:pPr>
      <w:r w:rsidRPr="00472F4D">
        <w:rPr>
          <w:rFonts w:ascii="Times New Roman" w:hAnsi="Times New Roman" w:cs="Times New Roman"/>
        </w:rPr>
        <w:t>Healthcare organizations create large amounts of unstructured documentation, including progress notes, discharge summaries, coding notes, scanned packets, and mixed-format charts. In payment accuracy and clinical review workflows, the main challenge is not lack of data, but finding whether the medical record actually supports a diagnosis, procedure, or code. This makes clinical natural language technology highly relevant to healthcare analytics. In this report, the term refers to methods that process clinical text and documents using natural language processing (NLP), optical character recognition (OCR), clinical entity extraction, contextual reasoning, and retrieval-grounded generative systems. For payment accuracy, chart validation, and coding-related workflows, the most practical value of these technologies is not replacing reviewers. It is helping them find evidence faster and with better traceability.</w:t>
      </w:r>
    </w:p>
    <w:p w14:paraId="444F15D8"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Historically, healthcare review depended heavily on manual chart reading, keyword search, and rule-based systems. These methods are easy to understand and audit, but they are slow and difficult to scale. A reviewer may need to read long notes to confirm whether a diagnosis was documented, whether a procedure was performed, or whether key information is missing. Rule-based NLP improved this process by extracting sections, dates, diagnosis terms, and code-like patterns. However, rule-based systems are brittle when wording varies across providers or document types. OCR made scanned PDFs and image-based records usable, but OCR quality can drop when documents are faxed, blurry, poorly formatted, or noisy. This matters because poor text extraction can lead to poor downstream evidence extraction.</w:t>
      </w:r>
    </w:p>
    <w:p w14:paraId="2905E8BF"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The business relevance is clear in payment integrity workflows. Cotiviti’s public materials describe payment accuracy, coding validation, and clinical chart validation solutions that involve identifying suspect claims, reviewing complex coding errors, reducing unnecessary provider requests, and supporting review before and after adjudication (Cotiviti, n.d.-a; Cotiviti, n.d.-b; Cotiviti, n.d.-c). More broadly, documentation sufficiency remains a major healthcare payment issue. CMS reported that, in FY 2025, a large share of Medicaid improper payments was tied to insufficient documentation, and Medicare payment programs also depend on documentation to support submitted claims and diagnoses (Centers for Medicare &amp; Medicaid Services, 2026). This supports a practical product thesis: reviewers need tools that help them quickly locate evidence, identify missing support, and preserve a clear review trail.</w:t>
      </w:r>
    </w:p>
    <w:p w14:paraId="62BEA2BA"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Current approaches are stronger because they combine several layers of document understanding. Reviews of NLP in electronic health records show that clinical notes contain valuable information, but much of that information is unstructured and difficult to use directly (Hossain et al., 2023; Li et al., 2022). Modern clinical NLP systems can detect sections, extract entities, identify relevant evidence, and answer questions over documents. Biomedical NLP tools such as scispaCy are useful because they are designed for biomedical and scientific language rather than </w:t>
      </w:r>
      <w:r w:rsidRPr="00472F4D">
        <w:rPr>
          <w:rFonts w:ascii="Times New Roman" w:hAnsi="Times New Roman" w:cs="Times New Roman"/>
        </w:rPr>
        <w:lastRenderedPageBreak/>
        <w:t>only general web text (Neumann et al., 2019). Clinical-domain transformer models such as ClinicalBERT are also relevant because they are adapted to clinical notes and can capture meaning in medical documentation better than generic models for some clinical NLP tasks (Huang et al., 2019).</w:t>
      </w:r>
    </w:p>
    <w:p w14:paraId="4675B461"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The newest shift is not only better extraction, but grounded generation. Retrieval-augmented generation, or RAG, combines a language model with retrieved evidence at inference time (Lewis et al., 2020). For healthcare review, this design is safer than a general chatbot summary because the answer can be tied back to the document being reviewed. A reviewer does not only need a conclusion such as “supported” or “not supported.” The reviewer needs the exact sentence or section that supports that conclusion. A grounded system helps reviewers see the source evidence, notice uncertainty, and avoid unsupported AI answers.</w:t>
      </w:r>
    </w:p>
    <w:p w14:paraId="2C95BBEA"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Looking forward, the field is moving toward multimodal and workflow-aware systems. Synthea is a useful synthetic-data foundation because it generates realistic but not real patient records, making it helpful for privacy-safe prototyping and evaluation (Walonoski et al., 2018). Future systems will likely combine clinical NLP, OCR, layout-aware document AI, and multimodal large models that can understand both text and page structure. However, stronger models do not remove the need for governance. Healthcare AI still faces risks such as hallucination, OCR errors, bias, privacy concerns, over-automation, and the false assumption that text evidence automatically proves coding correctness. Negation and uncertainty are especially important. For example, “pneumonia” and “no evidence of pneumonia” should not be treated the same way. Prior work on clinical negation detection shows that negation remains context-dependent and does not generalize perfectly across settings (Wu et al., 2014).</w:t>
      </w:r>
    </w:p>
    <w:p w14:paraId="0756CF36"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These trends create a strong opportunity for Cotiviti-style investment. The best direction is not a fully automated payment-decision system, but a human-in-the-loop Clinical Evidence Intelligence platform. Such a platform should help reviewers inspect documentation faster and more consistently. It should surface document sections, extract diagnoses and procedures, detect negation and uncertainty, retrieve evidence snippets for claims, flag missing documentation, and generate reviewer summaries. It should also clearly separate evidence assistance from final clinical, coding, or payment judgment. This balance creates operational value while respecting responsible AI requirements.</w:t>
      </w:r>
    </w:p>
    <w:p w14:paraId="2857FDDF"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The proof of concept developed for this assessment follows that recommendation. Clinical Evidence Intelligence Copilot is a local Streamlit prototype that uses synthetic clinical documents. It cleans extracted text, detects sections, extracts entities, identifies negated or uncertain findings, retrieves evidence, checks whether a claim appears supported, scores documentation completeness, and exports a reviewer report. It also includes an evaluation view over synthetic labeled notes and a governance page stating that the tool is synthetic-data-only and human-in-the-loop. The main lesson from the prototype is that the most useful healthcare GenAI systems are not the most open-ended ones. They are the systems that organize evidence, show their work, acknowledge uncertainty, and help trained reviewers make faster and better-informed decisions.</w:t>
      </w:r>
    </w:p>
    <w:p w14:paraId="52B310C7" w14:textId="77777777" w:rsidR="00DD1CD2" w:rsidRPr="00472F4D" w:rsidRDefault="00000000">
      <w:pPr>
        <w:pStyle w:val="Heading1"/>
        <w:rPr>
          <w:rFonts w:ascii="Times New Roman" w:hAnsi="Times New Roman" w:cs="Times New Roman"/>
        </w:rPr>
      </w:pPr>
      <w:bookmarkStart w:id="0" w:name="references"/>
      <w:r w:rsidRPr="00472F4D">
        <w:rPr>
          <w:rFonts w:ascii="Times New Roman" w:hAnsi="Times New Roman" w:cs="Times New Roman"/>
        </w:rPr>
        <w:lastRenderedPageBreak/>
        <w:t>References</w:t>
      </w:r>
    </w:p>
    <w:p w14:paraId="624B0175"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Centers for Medicare &amp; Medicaid Services. (2026, January 15). </w:t>
      </w:r>
      <w:r w:rsidRPr="00472F4D">
        <w:rPr>
          <w:rFonts w:ascii="Times New Roman" w:hAnsi="Times New Roman" w:cs="Times New Roman"/>
          <w:i/>
          <w:iCs/>
        </w:rPr>
        <w:t>Fiscal year 2025 improper payments fact sheet</w:t>
      </w:r>
      <w:r w:rsidRPr="00472F4D">
        <w:rPr>
          <w:rFonts w:ascii="Times New Roman" w:hAnsi="Times New Roman" w:cs="Times New Roman"/>
        </w:rPr>
        <w:t xml:space="preserve">. </w:t>
      </w:r>
      <w:hyperlink r:id="rId5">
        <w:r w:rsidRPr="00472F4D">
          <w:rPr>
            <w:rStyle w:val="Hyperlink"/>
            <w:rFonts w:ascii="Times New Roman" w:hAnsi="Times New Roman" w:cs="Times New Roman"/>
          </w:rPr>
          <w:t>https://www.cms.gov/newsroom/fact-sheets/fiscal-year-2025-improper-payments-fact-sheet</w:t>
        </w:r>
      </w:hyperlink>
    </w:p>
    <w:p w14:paraId="7283E22F"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Cotiviti. (n.d.-a). </w:t>
      </w:r>
      <w:r w:rsidRPr="00472F4D">
        <w:rPr>
          <w:rFonts w:ascii="Times New Roman" w:hAnsi="Times New Roman" w:cs="Times New Roman"/>
          <w:i/>
          <w:iCs/>
        </w:rPr>
        <w:t>Payment accuracy</w:t>
      </w:r>
      <w:r w:rsidRPr="00472F4D">
        <w:rPr>
          <w:rFonts w:ascii="Times New Roman" w:hAnsi="Times New Roman" w:cs="Times New Roman"/>
        </w:rPr>
        <w:t xml:space="preserve">. </w:t>
      </w:r>
      <w:hyperlink r:id="rId6">
        <w:r w:rsidRPr="00472F4D">
          <w:rPr>
            <w:rStyle w:val="Hyperlink"/>
            <w:rFonts w:ascii="Times New Roman" w:hAnsi="Times New Roman" w:cs="Times New Roman"/>
          </w:rPr>
          <w:t>https://www.cotiviti.com/solutions/payment-accuracy</w:t>
        </w:r>
      </w:hyperlink>
    </w:p>
    <w:p w14:paraId="48890881"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Cotiviti. (n.d.-b). </w:t>
      </w:r>
      <w:r w:rsidRPr="00472F4D">
        <w:rPr>
          <w:rFonts w:ascii="Times New Roman" w:hAnsi="Times New Roman" w:cs="Times New Roman"/>
          <w:i/>
          <w:iCs/>
        </w:rPr>
        <w:t>Clinical chart validation</w:t>
      </w:r>
      <w:r w:rsidRPr="00472F4D">
        <w:rPr>
          <w:rFonts w:ascii="Times New Roman" w:hAnsi="Times New Roman" w:cs="Times New Roman"/>
        </w:rPr>
        <w:t xml:space="preserve">. </w:t>
      </w:r>
      <w:hyperlink r:id="rId7">
        <w:r w:rsidRPr="00472F4D">
          <w:rPr>
            <w:rStyle w:val="Hyperlink"/>
            <w:rFonts w:ascii="Times New Roman" w:hAnsi="Times New Roman" w:cs="Times New Roman"/>
          </w:rPr>
          <w:t>https://www.cotiviti.com/solutions/payment-accuracy/clinical-chart-validation</w:t>
        </w:r>
      </w:hyperlink>
    </w:p>
    <w:p w14:paraId="4C181833"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Cotiviti. (n.d.-c). </w:t>
      </w:r>
      <w:r w:rsidRPr="00472F4D">
        <w:rPr>
          <w:rFonts w:ascii="Times New Roman" w:hAnsi="Times New Roman" w:cs="Times New Roman"/>
          <w:i/>
          <w:iCs/>
        </w:rPr>
        <w:t>Coding validation</w:t>
      </w:r>
      <w:r w:rsidRPr="00472F4D">
        <w:rPr>
          <w:rFonts w:ascii="Times New Roman" w:hAnsi="Times New Roman" w:cs="Times New Roman"/>
        </w:rPr>
        <w:t xml:space="preserve">. </w:t>
      </w:r>
      <w:hyperlink r:id="rId8">
        <w:r w:rsidRPr="00472F4D">
          <w:rPr>
            <w:rStyle w:val="Hyperlink"/>
            <w:rFonts w:ascii="Times New Roman" w:hAnsi="Times New Roman" w:cs="Times New Roman"/>
          </w:rPr>
          <w:t>https://www.cotiviti.com/solutions/payment-accuracy/coding-validation</w:t>
        </w:r>
      </w:hyperlink>
    </w:p>
    <w:p w14:paraId="5365467A"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Hossain, E., Rana, R., Higgins, N., Soar, J., Barua, P. D., Pisani, A. R., &amp; Turner, K. (2023). Natural language processing in electronic health records in relation to healthcare decision-making: A systematic review. </w:t>
      </w:r>
      <w:r w:rsidRPr="00472F4D">
        <w:rPr>
          <w:rFonts w:ascii="Times New Roman" w:hAnsi="Times New Roman" w:cs="Times New Roman"/>
          <w:i/>
          <w:iCs/>
        </w:rPr>
        <w:t>Computers in Biology and Medicine, 155</w:t>
      </w:r>
      <w:r w:rsidRPr="00472F4D">
        <w:rPr>
          <w:rFonts w:ascii="Times New Roman" w:hAnsi="Times New Roman" w:cs="Times New Roman"/>
        </w:rPr>
        <w:t xml:space="preserve">, 106649. </w:t>
      </w:r>
      <w:hyperlink r:id="rId9">
        <w:r w:rsidRPr="00472F4D">
          <w:rPr>
            <w:rStyle w:val="Hyperlink"/>
            <w:rFonts w:ascii="Times New Roman" w:hAnsi="Times New Roman" w:cs="Times New Roman"/>
          </w:rPr>
          <w:t>https://doi.org/10.1016/j.compbiomed.2023.106649</w:t>
        </w:r>
      </w:hyperlink>
    </w:p>
    <w:p w14:paraId="6F4D8A03"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Huang, K., Altosaar, J., &amp; Ranganath, R. (2019). </w:t>
      </w:r>
      <w:r w:rsidRPr="00472F4D">
        <w:rPr>
          <w:rFonts w:ascii="Times New Roman" w:hAnsi="Times New Roman" w:cs="Times New Roman"/>
          <w:i/>
          <w:iCs/>
        </w:rPr>
        <w:t>ClinicalBERT: Modeling clinical notes and predicting hospital readmission</w:t>
      </w:r>
      <w:r w:rsidRPr="00472F4D">
        <w:rPr>
          <w:rFonts w:ascii="Times New Roman" w:hAnsi="Times New Roman" w:cs="Times New Roman"/>
        </w:rPr>
        <w:t xml:space="preserve">. arXiv. </w:t>
      </w:r>
      <w:hyperlink r:id="rId10">
        <w:r w:rsidRPr="00472F4D">
          <w:rPr>
            <w:rStyle w:val="Hyperlink"/>
            <w:rFonts w:ascii="Times New Roman" w:hAnsi="Times New Roman" w:cs="Times New Roman"/>
          </w:rPr>
          <w:t>https://doi.org/10.48550/arXiv.1904.05342</w:t>
        </w:r>
      </w:hyperlink>
    </w:p>
    <w:p w14:paraId="0CB4912D"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Lewis, P., Perez, E., Piktus, A., Petroni, F., Karpukhin, V., Goyal, N., Küttler, H., Lewis, M., Yih, W.-t., Rocktäschel, T., Riedel, S., &amp; Kiela, D. (2020). Retrieval-augmented generation for knowledge-intensive NLP tasks. </w:t>
      </w:r>
      <w:r w:rsidRPr="00472F4D">
        <w:rPr>
          <w:rFonts w:ascii="Times New Roman" w:hAnsi="Times New Roman" w:cs="Times New Roman"/>
          <w:i/>
          <w:iCs/>
        </w:rPr>
        <w:t>Advances in Neural Information Processing Systems, 33</w:t>
      </w:r>
      <w:r w:rsidRPr="00472F4D">
        <w:rPr>
          <w:rFonts w:ascii="Times New Roman" w:hAnsi="Times New Roman" w:cs="Times New Roman"/>
        </w:rPr>
        <w:t xml:space="preserve">, 9459–9474. </w:t>
      </w:r>
      <w:hyperlink r:id="rId11">
        <w:r w:rsidRPr="00472F4D">
          <w:rPr>
            <w:rStyle w:val="Hyperlink"/>
            <w:rFonts w:ascii="Times New Roman" w:hAnsi="Times New Roman" w:cs="Times New Roman"/>
          </w:rPr>
          <w:t>https://doi.org/10.48550/arXiv.2005.11401</w:t>
        </w:r>
      </w:hyperlink>
    </w:p>
    <w:p w14:paraId="06321709"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Li, I., Pan, J., Goldwasser, J., Verma, N., Wong, W. P., Nuzumlalı, M. Y., Rosand, B., Li, Y., Zhang, M., Chang, D., Taylor, R. A., Krumholz, H. M., &amp; Radev, D. (2022). Neural natural language processing for unstructured data in electronic health records: A review. </w:t>
      </w:r>
      <w:r w:rsidRPr="00472F4D">
        <w:rPr>
          <w:rFonts w:ascii="Times New Roman" w:hAnsi="Times New Roman" w:cs="Times New Roman"/>
          <w:i/>
          <w:iCs/>
        </w:rPr>
        <w:t>Computer Science Review, 46</w:t>
      </w:r>
      <w:r w:rsidRPr="00472F4D">
        <w:rPr>
          <w:rFonts w:ascii="Times New Roman" w:hAnsi="Times New Roman" w:cs="Times New Roman"/>
        </w:rPr>
        <w:t xml:space="preserve">, 100511. </w:t>
      </w:r>
      <w:hyperlink r:id="rId12">
        <w:r w:rsidRPr="00472F4D">
          <w:rPr>
            <w:rStyle w:val="Hyperlink"/>
            <w:rFonts w:ascii="Times New Roman" w:hAnsi="Times New Roman" w:cs="Times New Roman"/>
          </w:rPr>
          <w:t>https://doi.org/10.1016/j.cosrev.2022.100511</w:t>
        </w:r>
      </w:hyperlink>
    </w:p>
    <w:p w14:paraId="4AAA63C6"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Neumann, M., King, D., Beltagy, I., &amp; Ammar, W. (2019). ScispaCy: Fast and robust models for biomedical natural language processing. </w:t>
      </w:r>
      <w:r w:rsidRPr="00472F4D">
        <w:rPr>
          <w:rFonts w:ascii="Times New Roman" w:hAnsi="Times New Roman" w:cs="Times New Roman"/>
          <w:i/>
          <w:iCs/>
        </w:rPr>
        <w:t>Proceedings of the 18th BioNLP Workshop and Shared Task</w:t>
      </w:r>
      <w:r w:rsidRPr="00472F4D">
        <w:rPr>
          <w:rFonts w:ascii="Times New Roman" w:hAnsi="Times New Roman" w:cs="Times New Roman"/>
        </w:rPr>
        <w:t xml:space="preserve">, 319–327. </w:t>
      </w:r>
      <w:hyperlink r:id="rId13">
        <w:r w:rsidRPr="00472F4D">
          <w:rPr>
            <w:rStyle w:val="Hyperlink"/>
            <w:rFonts w:ascii="Times New Roman" w:hAnsi="Times New Roman" w:cs="Times New Roman"/>
          </w:rPr>
          <w:t>https://doi.org/10.18653/v1/W19-5034</w:t>
        </w:r>
      </w:hyperlink>
    </w:p>
    <w:p w14:paraId="05C282EB"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Walonoski, J., Kramer, M., Nichols, J., Quina, A., Moesel, C., Hall, D., Duffett, C., Dube, K., Gallagher, T., &amp; McLachlan, S. (2018). Synthea: An approach, method, and software mechanism for generating synthetic patients and the synthetic electronic health care record. </w:t>
      </w:r>
      <w:r w:rsidRPr="00472F4D">
        <w:rPr>
          <w:rFonts w:ascii="Times New Roman" w:hAnsi="Times New Roman" w:cs="Times New Roman"/>
          <w:i/>
          <w:iCs/>
        </w:rPr>
        <w:t>Journal of the American Medical Informatics Association, 25</w:t>
      </w:r>
      <w:r w:rsidRPr="00472F4D">
        <w:rPr>
          <w:rFonts w:ascii="Times New Roman" w:hAnsi="Times New Roman" w:cs="Times New Roman"/>
        </w:rPr>
        <w:t xml:space="preserve">(3), 230–238. </w:t>
      </w:r>
      <w:hyperlink r:id="rId14">
        <w:r w:rsidRPr="00472F4D">
          <w:rPr>
            <w:rStyle w:val="Hyperlink"/>
            <w:rFonts w:ascii="Times New Roman" w:hAnsi="Times New Roman" w:cs="Times New Roman"/>
          </w:rPr>
          <w:t>https://doi.org/10.1093/jamia/ocx079</w:t>
        </w:r>
      </w:hyperlink>
    </w:p>
    <w:p w14:paraId="122518A3" w14:textId="77777777" w:rsidR="00DD1CD2" w:rsidRPr="00472F4D" w:rsidRDefault="00000000">
      <w:pPr>
        <w:pStyle w:val="BodyText"/>
        <w:rPr>
          <w:rFonts w:ascii="Times New Roman" w:hAnsi="Times New Roman" w:cs="Times New Roman"/>
        </w:rPr>
      </w:pPr>
      <w:r w:rsidRPr="00472F4D">
        <w:rPr>
          <w:rFonts w:ascii="Times New Roman" w:hAnsi="Times New Roman" w:cs="Times New Roman"/>
        </w:rPr>
        <w:t xml:space="preserve">Wu, S., Miller, T., Masanz, J., Coarr, M., Halgrim, S., Carrell, D., &amp; Clark, C. (2014). Negation’s not solved: Generalizability versus optimizability in clinical natural language processing. </w:t>
      </w:r>
      <w:r w:rsidRPr="00472F4D">
        <w:rPr>
          <w:rFonts w:ascii="Times New Roman" w:hAnsi="Times New Roman" w:cs="Times New Roman"/>
          <w:i/>
          <w:iCs/>
        </w:rPr>
        <w:t>PLOS ONE, 9</w:t>
      </w:r>
      <w:r w:rsidRPr="00472F4D">
        <w:rPr>
          <w:rFonts w:ascii="Times New Roman" w:hAnsi="Times New Roman" w:cs="Times New Roman"/>
        </w:rPr>
        <w:t xml:space="preserve">(11), e112774. </w:t>
      </w:r>
      <w:hyperlink r:id="rId15">
        <w:r w:rsidRPr="00472F4D">
          <w:rPr>
            <w:rStyle w:val="Hyperlink"/>
            <w:rFonts w:ascii="Times New Roman" w:hAnsi="Times New Roman" w:cs="Times New Roman"/>
          </w:rPr>
          <w:t>https://doi.org/10.1371/journal.pone.0112774</w:t>
        </w:r>
      </w:hyperlink>
      <w:bookmarkEnd w:id="0"/>
    </w:p>
    <w:sectPr w:rsidR="00DD1CD2" w:rsidRPr="00472F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E07F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168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D1CD2"/>
    <w:rsid w:val="00472F4D"/>
    <w:rsid w:val="008B0B0A"/>
    <w:rsid w:val="00DD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B191B7"/>
  <w15:docId w15:val="{BE4EFD54-10B8-0544-A405-FA19F2AB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tiviti.com/solutions/payment-accuracy/coding-validation" TargetMode="External"/><Relationship Id="rId13" Type="http://schemas.openxmlformats.org/officeDocument/2006/relationships/hyperlink" Target="https://doi.org/10.18653/v1/W19-5034" TargetMode="External"/><Relationship Id="rId3" Type="http://schemas.openxmlformats.org/officeDocument/2006/relationships/settings" Target="settings.xml"/><Relationship Id="rId7" Type="http://schemas.openxmlformats.org/officeDocument/2006/relationships/hyperlink" Target="https://www.cotiviti.com/solutions/payment-accuracy/clinical-chart-validation" TargetMode="External"/><Relationship Id="rId12" Type="http://schemas.openxmlformats.org/officeDocument/2006/relationships/hyperlink" Target="https://doi.org/10.1016/j.cosrev.2022.10051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tiviti.com/solutions/payment-accuracy" TargetMode="External"/><Relationship Id="rId11" Type="http://schemas.openxmlformats.org/officeDocument/2006/relationships/hyperlink" Target="https://doi.org/10.48550/arXiv.2005.11401" TargetMode="External"/><Relationship Id="rId5" Type="http://schemas.openxmlformats.org/officeDocument/2006/relationships/hyperlink" Target="https://www.cms.gov/newsroom/fact-sheets/fiscal-year-2025-improper-payments-fact-sheet" TargetMode="External"/><Relationship Id="rId15" Type="http://schemas.openxmlformats.org/officeDocument/2006/relationships/hyperlink" Target="https://doi.org/10.1371/journal.pone.0112774" TargetMode="External"/><Relationship Id="rId10" Type="http://schemas.openxmlformats.org/officeDocument/2006/relationships/hyperlink" Target="https://doi.org/10.48550/arXiv.1904.05342" TargetMode="External"/><Relationship Id="rId4" Type="http://schemas.openxmlformats.org/officeDocument/2006/relationships/webSettings" Target="webSettings.xml"/><Relationship Id="rId9" Type="http://schemas.openxmlformats.org/officeDocument/2006/relationships/hyperlink" Target="https://doi.org/10.1016/j.compbiomed.2023.106649" TargetMode="External"/><Relationship Id="rId14" Type="http://schemas.openxmlformats.org/officeDocument/2006/relationships/hyperlink" Target="https://doi.org/10.1093/jamia/ocx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1510</Words>
  <Characters>8608</Characters>
  <Application>Microsoft Office Word</Application>
  <DocSecurity>0</DocSecurity>
  <Lines>71</Lines>
  <Paragraphs>20</Paragraphs>
  <ScaleCrop>false</ScaleCrop>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Natural Language Technology for Payment Accuracy: NLP, OCR, and RAG-Based Evidence Review in Healthcare</dc:title>
  <dc:creator/>
  <cp:keywords/>
  <cp:lastModifiedBy>Vanaja Binay Agarwal</cp:lastModifiedBy>
  <cp:revision>2</cp:revision>
  <dcterms:created xsi:type="dcterms:W3CDTF">2026-07-06T01:31:00Z</dcterms:created>
  <dcterms:modified xsi:type="dcterms:W3CDTF">2026-07-06T01:32:00Z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