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0"/>
      </w:pPr>
      <w:r>
        <w:rPr/>
        <w:fldChar w:fldCharType="begin" w:fldLock="0"/>
      </w:r>
      <w:r>
        <w:instrText xml:space="preserve"> DATE \@ "MMMM d, y" </w:instrText>
      </w:r>
      <w:r>
        <w:rPr/>
        <w:fldChar w:fldCharType="separate" w:fldLock="0"/>
      </w:r>
      <w:r>
        <w:rPr>
          <w:rtl w:val="0"/>
          <w:lang w:val="en-US"/>
        </w:rPr>
        <w:t>February 5, 2026</w:t>
      </w:r>
      <w:r>
        <w:rPr/>
        <w:fldChar w:fldCharType="end" w:fldLock="1"/>
      </w:r>
    </w:p>
    <w:p>
      <w:pPr>
        <w:pStyle w:val="Body"/>
        <w:spacing w:after="0"/>
      </w:pPr>
    </w:p>
    <w:p>
      <w:pPr>
        <w:pStyle w:val="Body"/>
        <w:spacing w:after="0"/>
      </w:pPr>
      <w:r>
        <w:rPr>
          <w:rtl w:val="0"/>
          <w:lang w:val="en-US"/>
        </w:rPr>
        <w:t xml:space="preserve">Dear </w:t>
      </w:r>
      <w:r>
        <w:rPr>
          <w:rtl w:val="0"/>
          <w:lang w:val="en-US"/>
        </w:rPr>
        <w:t>Life Sciences Hiring Committee</w:t>
      </w:r>
      <w:r>
        <w:rPr>
          <w:rtl w:val="0"/>
        </w:rPr>
        <w:t>,</w:t>
      </w:r>
    </w:p>
    <w:p>
      <w:pPr>
        <w:pStyle w:val="Body"/>
        <w:spacing w:after="0"/>
      </w:pPr>
    </w:p>
    <w:p>
      <w:pPr>
        <w:pStyle w:val="Body"/>
        <w:spacing w:after="0"/>
      </w:pPr>
      <w:r>
        <w:rPr>
          <w:rtl w:val="0"/>
          <w:lang w:val="en-US"/>
        </w:rPr>
        <w:t xml:space="preserve">I am writing to apply for the Research Engineer/Research Scientist role in Biology &amp; Life Sciences at </w:t>
      </w:r>
      <w:r>
        <w:rPr>
          <w:rtl w:val="0"/>
          <w:lang w:val="en-US"/>
        </w:rPr>
        <w:t>Anthropic</w:t>
      </w:r>
      <w:r>
        <w:rPr>
          <w:rtl w:val="0"/>
          <w:lang w:val="en-US"/>
        </w:rPr>
        <w:t xml:space="preserve">. I am a neuroscientist whose work sits at the intersection of biological discovery, scientific evaluation frameworks, and research software infrastructure. My research focuses on how nanoscale molecular organization influences cellular and circuit-level function, and on using a deep understanding of wet-lab practice and biological data analysis to improve workflows and build tools that accelerate scientific discovery without sacrificing rigor. </w:t>
      </w:r>
    </w:p>
    <w:p>
      <w:pPr>
        <w:pStyle w:val="Body"/>
        <w:spacing w:after="0"/>
      </w:pPr>
    </w:p>
    <w:p>
      <w:pPr>
        <w:pStyle w:val="Body"/>
        <w:spacing w:after="0"/>
      </w:pPr>
      <w:r>
        <w:rPr>
          <w:rtl w:val="0"/>
          <w:lang w:val="en-US"/>
        </w:rPr>
        <w:t xml:space="preserve">Using electron tomography, I studied how molecular complexes self-organize across synapses to facilitate communication and plasticity. A central gap in biology lies between atomic or single-molecule structural descriptions and light-level observations of protein localization, dynamics, or perturbation effects. My work focuses on an intermediate scale, resolving how proteins and molecular complexes are physically organized in their native cellular environment to give rise to function. My background shapes how I frame complex scientific problems, define ground truths, and reason under uncertainty when systems cannot be fully specified in advance. </w:t>
      </w:r>
    </w:p>
    <w:p>
      <w:pPr>
        <w:pStyle w:val="Body"/>
        <w:spacing w:after="0"/>
      </w:pPr>
    </w:p>
    <w:p>
      <w:pPr>
        <w:pStyle w:val="Body"/>
        <w:spacing w:after="0"/>
      </w:pPr>
      <w:r>
        <w:rPr>
          <w:rtl w:val="0"/>
          <w:lang w:val="en-US"/>
        </w:rPr>
        <w:t xml:space="preserve">Across the life sciences, from nanoscopic cryo-electron tomography to whole-brain MRI, volumetric datasets are now generated faster than they can be meaningfully interpreted, leaving many biologically important findings unexplored. A central focus of my work has been addressing this gap through close engagement with advanced light and electron microscopy communities, where analysis workflows rely on powerful but fragmented, single-purpose tools. Rather than treating analysis as a downstream task, I focus on defining evaluation frameworks, data representations, and scientific software that support long-horizon, multi-step processes while keeping the researcher firmly in the loop. Making volumetric analysis as intuitive and reliable as traditional two-dimensional analysis requires surfacing usability gaps and failure modes that become apparent at scale, and ensuring computational systems augment rather than replace the exercise of scientific judgement. </w:t>
      </w:r>
    </w:p>
    <w:p>
      <w:pPr>
        <w:pStyle w:val="Body"/>
        <w:spacing w:after="0"/>
      </w:pPr>
    </w:p>
    <w:p>
      <w:pPr>
        <w:pStyle w:val="Body"/>
        <w:spacing w:after="0"/>
      </w:pPr>
      <w:r>
        <w:rPr>
          <w:rtl w:val="0"/>
          <w:lang w:val="en-US"/>
        </w:rPr>
        <w:t xml:space="preserve">At the National Institutes of Health, I led a cross-functional team spanning government, academia, and industry to address a core bottleneck: segmenting and annotating large three-dimensional datasets containing previously uncharacterized biological structures. I worked closely with engineers, designers, and experimental scientists to develop an open-source, web-based analysis platform with user-integrated machine-learning tools. My role centered on problem formulation, evaluation, and identifying where systems failed, confused users, or broke under real-world conditions while also aligning scientific and technical perspectives so the platform remained broadly applicable without ballooning in scope. The goal was not simply automation, but accessibility: putting advanced tools into a coherent, usable environment where the data itself remained central to the user experience. </w:t>
      </w:r>
    </w:p>
    <w:p>
      <w:pPr>
        <w:pStyle w:val="Body"/>
        <w:spacing w:after="0"/>
      </w:pPr>
    </w:p>
    <w:p>
      <w:pPr>
        <w:pStyle w:val="Body"/>
        <w:spacing w:after="0"/>
      </w:pPr>
      <w:r>
        <w:rPr>
          <w:rtl w:val="0"/>
          <w:lang w:val="en-US"/>
        </w:rPr>
        <w:t xml:space="preserve">I am excited by </w:t>
      </w:r>
      <w:r>
        <w:rPr>
          <w:rtl w:val="0"/>
          <w:lang w:val="en-US"/>
        </w:rPr>
        <w:t>Anthropic</w:t>
      </w:r>
      <w:r>
        <w:rPr>
          <w:rtl w:val="0"/>
          <w:lang w:val="en-US"/>
        </w:rPr>
        <w:t>’</w:t>
      </w:r>
      <w:r>
        <w:rPr>
          <w:rtl w:val="0"/>
          <w:lang w:val="en-US"/>
        </w:rPr>
        <w:t>s goal of building AI systems that engage across the full lifecycle of scientific research while remaining transparent, interpretable, and grounded in evidence. I believe my experience working at the interface of biological structure, evaluation-driven analysis, and research infrastructure positions me well to contribute to efforts that improve how complex scientific tasks are framed, evaluated, and supported in real research settings, particularly for long-horizon biological reasoning and discovery tasks.</w:t>
      </w:r>
    </w:p>
    <w:p>
      <w:pPr>
        <w:pStyle w:val="Body"/>
        <w:spacing w:after="0"/>
      </w:pPr>
    </w:p>
    <w:p>
      <w:pPr>
        <w:pStyle w:val="Body"/>
        <w:spacing w:after="0"/>
      </w:pPr>
      <w:r>
        <w:rPr>
          <w:rtl w:val="0"/>
          <w:lang w:val="en-US"/>
        </w:rPr>
        <w:t xml:space="preserve">Thank you for considering my application. I would welcome the opportunity to discuss how my background could contribute to </w:t>
      </w:r>
      <w:r>
        <w:rPr>
          <w:rtl w:val="0"/>
          <w:lang w:val="en-US"/>
        </w:rPr>
        <w:t>Anthropic</w:t>
      </w:r>
      <w:r>
        <w:rPr>
          <w:rtl w:val="0"/>
          <w:lang w:val="en-US"/>
        </w:rPr>
        <w:t>’</w:t>
      </w:r>
      <w:r>
        <w:rPr>
          <w:rtl w:val="0"/>
          <w:lang w:val="en-US"/>
        </w:rPr>
        <w:t>s Life Sciences efforts.</w:t>
      </w:r>
    </w:p>
    <w:p>
      <w:pPr>
        <w:pStyle w:val="Body"/>
        <w:spacing w:after="0"/>
      </w:pPr>
    </w:p>
    <w:p>
      <w:pPr>
        <w:pStyle w:val="Body"/>
        <w:spacing w:after="0"/>
      </w:pPr>
      <w:r>
        <w:rPr>
          <w:rtl w:val="0"/>
          <w:lang w:val="en-US"/>
        </w:rPr>
        <w:t>Sincerely,</w:t>
      </w:r>
    </w:p>
    <w:p>
      <w:pPr>
        <w:pStyle w:val="Body"/>
        <w:spacing w:after="0"/>
      </w:pPr>
    </w:p>
    <w:p>
      <w:pPr>
        <w:pStyle w:val="Body"/>
        <w:spacing w:after="0"/>
      </w:pPr>
      <w:r>
        <w:rPr>
          <w:rtl w:val="0"/>
          <w:lang w:val="en-US"/>
        </w:rPr>
        <w:t>Andy A. Cole, Ph.D.</w:t>
      </w:r>
    </w:p>
    <w:p>
      <w:pPr>
        <w:pStyle w:val="Body"/>
        <w:spacing w:after="0"/>
      </w:pPr>
      <w:r>
        <w:rPr>
          <w:rtl w:val="0"/>
          <w:lang w:val="en-US"/>
        </w:rPr>
        <w:t>(402) 981-3725 | cole.andy.a@gmail.com</w:t>
      </w:r>
    </w:p>
    <w:sectPr>
      <w:headerReference w:type="default" r:id="rId4"/>
      <w:footerReference w:type="default" r:id="rId5"/>
      <w:pgSz w:w="12240" w:h="15840" w:orient="portrait"/>
      <w:pgMar w:top="720" w:right="720" w:bottom="720" w:left="72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3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