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8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a3a6b"/>
          <w:sz w:val="36"/>
          <w:szCs w:val="36"/>
          <w:rtl w:val="0"/>
        </w:rPr>
        <w:t xml:space="preserve">Statement of R&amp;D Uncertainty</w:t>
      </w:r>
    </w:p>
    <w:p>
      <w:pPr>
        <w:spacing w:after="28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8b8fa8"/>
          <w:sz w:val="24"/>
          <w:szCs w:val="24"/>
          <w:rtl w:val="0"/>
        </w:rPr>
        <w:t xml:space="preserve">Autonomous Editorial Decision-Making at Scale</w:t>
      </w:r>
    </w:p>
    <w:tbl>
      <w:tblPr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3120"/>
        <w:gridCol w:w="6240"/>
      </w:tblGrid>
      <w:tr>
        <w:tc>
          <w:tcPr>
            <w:tcW w:w="3120.0" w:type="dxa"/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9e75"/>
                <w:sz w:val="21"/>
                <w:szCs w:val="21"/>
                <w:rtl w:val="0"/>
              </w:rPr>
              <w:t xml:space="preserve">Document type</w:t>
            </w:r>
          </w:p>
        </w:tc>
        <w:tc>
          <w:tcPr>
            <w:tcW w:w="6240.0" w:type="dx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Statement of Technical Uncertainty (IRAP support)</w:t>
            </w:r>
          </w:p>
        </w:tc>
      </w:tr>
      <w:tr>
        <w:tc>
          <w:tcPr>
            <w:tcW w:w="3120.0" w:type="dxa"/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9e75"/>
                <w:sz w:val="21"/>
                <w:szCs w:val="21"/>
                <w:rtl w:val="0"/>
              </w:rPr>
              <w:t xml:space="preserve">Audience</w:t>
            </w:r>
          </w:p>
        </w:tc>
        <w:tc>
          <w:tcPr>
            <w:tcW w:w="6240.0" w:type="dx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Industry Technology Advisor (ITA) / technical reviewers</w:t>
            </w:r>
          </w:p>
        </w:tc>
      </w:tr>
      <w:tr>
        <w:tc>
          <w:tcPr>
            <w:tcW w:w="3120.0" w:type="dxa"/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9e75"/>
                <w:sz w:val="21"/>
                <w:szCs w:val="21"/>
                <w:rtl w:val="0"/>
              </w:rPr>
              <w:t xml:space="preserve">Prepared by</w:t>
            </w:r>
          </w:p>
        </w:tc>
        <w:tc>
          <w:tcPr>
            <w:tcW w:w="6240.0" w:type="dx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Celestine Oamen, Founder &amp; CEO</w:t>
            </w:r>
          </w:p>
        </w:tc>
      </w:tr>
      <w:tr>
        <w:tc>
          <w:tcPr>
            <w:tcW w:w="3120.0" w:type="dxa"/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9e75"/>
                <w:sz w:val="21"/>
                <w:szCs w:val="21"/>
                <w:rtl w:val="0"/>
              </w:rPr>
              <w:t xml:space="preserve">Version</w:t>
            </w:r>
          </w:p>
        </w:tc>
        <w:tc>
          <w:tcPr>
            <w:tcW w:w="6240.0" w:type="dx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Final — harmonized, architecture-integrated</w:t>
            </w:r>
          </w:p>
        </w:tc>
      </w:tr>
      <w:tr>
        <w:tc>
          <w:tcPr>
            <w:tcW w:w="3120.0" w:type="dxa"/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9e75"/>
                <w:sz w:val="21"/>
                <w:szCs w:val="21"/>
                <w:rtl w:val="0"/>
              </w:rPr>
              <w:t xml:space="preserve">Issued</w:t>
            </w:r>
          </w:p>
        </w:tc>
        <w:tc>
          <w:tcPr>
            <w:tcW w:w="6240.0" w:type="dxa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pPr>
              <w:rPr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May 2026</w:t>
            </w:r>
          </w:p>
        </w:tc>
      </w:tr>
    </w:tbl>
    <w:p>
      <w:pPr>
        <w:spacing w:after="80" w:before="0" w:lineRule="auto"/>
        <w:rPr/>
      </w:pPr>
    </w:p>
    <w:p>
      <w:pP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0"/>
        </w:rPr>
        <w:t xml:space="preserve">1. Purpose of this Statement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document provides a structured articulation of the technical uncertainties associated with the PostaraTrend AI platform, specifically within the Autonomous Editorial Decision-Making Layer (Figure 2).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Its purpose is to enable an Industry Technology Advisor (ITA) to assess whether the proposed work constitutes experimental research and development, as distinct from engineering integration.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corporation’s position is that the work qualifies as R&amp;D because it targets system-level uncertainties that emerge directly from the architecture, and which: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depend on non-deterministic large language model (LLM) outputs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involve feedback-driven system behaviour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cannot be resolved without measured, production-scale experimentation</w:t>
      </w:r>
    </w:p>
    <w:p>
      <w:pP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0"/>
        </w:rPr>
        <w:t xml:space="preserve">2. R&amp;D Scope Defined by Architecture</w:t>
      </w:r>
    </w:p>
    <w:p>
      <w:pPr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d9e75"/>
          <w:sz w:val="24"/>
          <w:szCs w:val="24"/>
          <w:rtl w:val="0"/>
        </w:rPr>
        <w:t xml:space="preserve">2.1 Integration Layer (excluded from R&amp;D scope)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platform integrates commercially available services (workflow orchestration, LLM APIs, scraping, and rendering).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layer: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behaves deterministically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has been proven at small scale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does not introduce unknown system dynamics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Accordingly, it is classified as engineering work, not R&amp;D.</w:t>
      </w:r>
    </w:p>
    <w:p>
      <w:pPr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d9e75"/>
          <w:sz w:val="24"/>
          <w:szCs w:val="24"/>
          <w:rtl w:val="0"/>
        </w:rPr>
        <w:t xml:space="preserve">2.2 Autonomous Editorial Layer (R&amp;D scope)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R&amp;D focus is the Autonomous Editorial Decision-Making Layer, represented in Figure 2.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layer introduces decision-making points that directly influence: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whether content is published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how content evolves over time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how content is adapted across platforms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whether publishing is halted for safety reasons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These behaviours are governed by four architectural decision loci: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D1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Post-or-Suppress Gate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D2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Variant Selection Loop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D3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Format Adaptation Stage</w:t>
      </w:r>
    </w:p>
    <w:p>
      <w:pPr>
        <w:numPr>
          <w:ilvl w:val="0"/>
          <w:numId w:val="1"/>
        </w:numPr>
        <w:spacing w:after="16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D4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Sentiment-Gated Pause Loop</w:t>
      </w:r>
    </w:p>
    <w:tbl>
      <w:tblPr>
        <w:tblW w:w="9360.0" w:type="dxa"/>
        <w:jc w:val="left"/>
        <w:tblBorders>
          <w:top w:color="f0d066" w:space="0" w:sz="6" w:val="single"/>
          <w:left w:color="f0d066" w:space="0" w:sz="6" w:val="single"/>
          <w:bottom w:color="f0d066" w:space="0" w:sz="6" w:val="single"/>
          <w:right w:color="f0d066" w:space="0" w:sz="6" w:val="single"/>
        </w:tblBorders>
        <w:tblLayout w:type="fixed"/>
        <w:tblLook w:val="0000"/>
      </w:tblPr>
      <w:tblGrid>
        <w:gridCol w:w="9360"/>
      </w:tblGrid>
      <w:tr>
        <w:tc>
          <w:tcPr>
            <w:tcW w:w="9360.0" w:type="dxa"/>
            <w:shd w:fill="fffbe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>
            <w:pPr>
              <w:spacing w:after="0" w:before="0" w:line="280" w:lineRule="auto"/>
              <w:jc w:val="both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3a6b"/>
                <w:sz w:val="21"/>
                <w:szCs w:val="21"/>
                <w:rtl w:val="0"/>
              </w:rPr>
              <w:t xml:space="preserve">Architectural note.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  <w:rtl w:val="0"/>
              </w:rPr>
              <w:t xml:space="preserve">D1 and D3 are per-execution decisions (stateless). D2 and D4 are closed-loop control systems (state evolves via feedback). This combination introduces emergent system behaviour, which is the source of the technical uncertainty.</w:t>
            </w:r>
          </w:p>
        </w:tc>
      </w:tr>
    </w:tbl>
    <w:p>
      <w:pPr>
        <w:spacing w:after="80" w:before="0" w:lineRule="auto"/>
        <w:rPr/>
      </w:pPr>
    </w:p>
    <w:p>
      <w:pPr>
        <w:spacing w:after="120" w:before="80" w:line="300" w:lineRule="auto"/>
        <w:rPr/>
      </w:pPr>
      <w:r>
        <w:rPr>
          <w:rFonts w:ascii="Arial" w:cs="Arial" w:eastAsia="Arial" w:hAnsi="Arial"/>
          <w:i w:val="1"/>
          <w:iCs w:val="1"/>
          <w:color w:val="8b8fa8"/>
          <w:sz w:val="21"/>
          <w:szCs w:val="21"/>
          <w:rtl w:val="0"/>
        </w:rPr>
        <w:t xml:space="preserve">The diagram on the following page (Figure 2) shows these four loci in their architectural context, with D2 and D4’s closed loops drawn explicitly.</w:t>
      </w:r>
    </w:p>
    <w:p>
      <w:pPr>
        <w:sectPr>
          <w:headerReference r:id="rId9" w:type="default"/>
          <w:footerReference r:id="rId10" w:type="default"/>
          <w:pgSz w:h="15840" w:w="12240" w:orient="portrait"/>
          <w:pgMar w:bottom="1800" w:top="2160" w:left="1440" w:right="1440" w:header="720" w:footer="720"/>
          <w:pgNumType w:start="1"/>
        </w:sectPr>
      </w:pPr>
    </w:p>
    <w:p>
      <w:pPr>
        <w:spacing w:after="20" w:before="0" w:lineRule="auto"/>
        <w:jc w:val="center"/>
        <w:rPr/>
      </w:pPr>
      <w:r>
        <w:rPr>
          <w:rFonts w:ascii="Arial" w:cs="Arial" w:eastAsia="Arial" w:hAnsi="Arial"/>
          <w:b w:val="1"/>
          <w:bCs w:val="1"/>
          <w:i w:val="1"/>
          <w:iCs w:val="1"/>
          <w:color w:val="1a3a6b"/>
          <w:sz w:val="22"/>
          <w:szCs w:val="22"/>
          <w:rtl w:val="0"/>
        </w:rPr>
        <w:t xml:space="preserve">Figure 2 — Autonomous Editorial Decision-Making Architecture</w:t>
      </w:r>
    </w:p>
    <w:p>
      <w:pPr>
        <w:spacing w:after="80" w:before="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8b8fa8"/>
          <w:sz w:val="20"/>
          <w:szCs w:val="20"/>
          <w:rtl w:val="0"/>
        </w:rPr>
        <w:t xml:space="preserve">Workflow stages, D1–D4 decision loci, and feedback loops.</w:t>
      </w:r>
    </w:p>
    <w:p>
      <w:pPr>
        <w:keepNext w:val="1"/>
        <w:keepLines w:val="1"/>
        <w:spacing w:after="0" w:before="0" w:lineRule="auto"/>
        <w:jc w:val="center"/>
        <w:rPr/>
      </w:pPr>
      <w:r>
        <w:rPr>
          <w:rtl w:val="0"/>
        </w:rPr>
        <w:drawing>
          <wp:inline distB="0" distT="0" distL="0" distR="0">
            <wp:extent cx="6400800" cy="4948560"/>
            <wp:effectExtent b="0" l="0" r="0" t="0"/>
            <wp:docPr id="50" name="Figure2_DecisionLayer" descr="Architecture diagram showing the Master Workflow phases (P-15a through P-09), the four decision loci D1, D2, D3, D4, plus an inset summary panel listing the four R&amp;D uncertainties posed to IRAP." title="Figure 2 — Autonomous Editorial Decision-Making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DecisionLayer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48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ectPr>
          <w:headerReference r:id="rId9" w:type="default"/>
          <w:footerReference r:id="rId10" w:type="default"/>
          <w:pgSz w:h="12240" w:w="15840" w:orient="landscape"/>
          <w:pgMar w:bottom="1080" w:top="1440" w:left="1440" w:right="1440" w:header="540" w:footer="540"/>
        </w:sectPr>
      </w:pPr>
    </w:p>
    <w:p>
      <w:pP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0"/>
        </w:rPr>
        <w:t xml:space="preserve">3. Technical Uncertainties (architecture-linked)</w:t>
      </w:r>
    </w:p>
    <w:p>
      <w:pPr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d9e75"/>
          <w:sz w:val="24"/>
          <w:szCs w:val="24"/>
          <w:rtl w:val="0"/>
        </w:rPr>
        <w:t xml:space="preserve">3.1 Uncertainty 1 — Failure rate at D1 (Post-or-Suppress Gate)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Architecture context.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D1 is the decision gate located immediately before publishing. Each content item is evaluated independently and classified as: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publish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suppress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escalate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Technical question.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At production scale, what is the empirical failure rate of this decision point?</w:t>
      </w:r>
    </w:p>
    <w:p>
      <w:pPr>
        <w:spacing w:after="40" w:before="1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Failure definition.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False negative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inappropriate content is published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False positive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appropriate content is suppressed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Why this is architecturally uncertain.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D1: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operates without feedback correction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relies on non-deterministic model outputs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directly determines final system output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At scale, this creates unbounded exposure to edge-case failures, which cannot be predicted from low-volume testing.</w:t>
      </w:r>
    </w:p>
    <w:p>
      <w:pPr>
        <w:spacing w:after="40" w:before="1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Resolution approach.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instrument decision outcomes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measure baseline failure rates</w:t>
      </w:r>
    </w:p>
    <w:p>
      <w:pPr>
        <w:numPr>
          <w:ilvl w:val="0"/>
          <w:numId w:val="1"/>
        </w:numPr>
        <w:spacing w:after="16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implement guardrails and quantify improvement against the baseline</w:t>
      </w:r>
    </w:p>
    <w:p>
      <w:pPr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d9e75"/>
          <w:sz w:val="24"/>
          <w:szCs w:val="24"/>
          <w:rtl w:val="0"/>
        </w:rPr>
        <w:t xml:space="preserve">3.2 Uncertainty 2 — Convergence of the D2 Variant Selection Loop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Architecture context.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D2 is a closed-loop feedback system linking published content → engagement data → future content decisions.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Technical question.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Does this loop converge toward higher-performing outputs at small-business volume, or does it respond to noise?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Why this is architecturally uncertain.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The loop depends on: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sparse, noisy engagement signals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limited data volume at small-business scale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recursive feedback into future decisions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creates a control-system uncertainty in which the system may amplify noise rather than learn from signal.</w:t>
      </w:r>
    </w:p>
    <w:p>
      <w:pPr>
        <w:spacing w:after="40" w:before="1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Resolution approach.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run longitudinal experiments across multiple accounts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track engagement trends across cycles</w:t>
      </w:r>
    </w:p>
    <w:p>
      <w:pPr>
        <w:numPr>
          <w:ilvl w:val="0"/>
          <w:numId w:val="1"/>
        </w:numPr>
        <w:spacing w:after="16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determine the conditions under which convergence occurs or fails</w:t>
      </w:r>
    </w:p>
    <w:p>
      <w:pPr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d9e75"/>
          <w:sz w:val="24"/>
          <w:szCs w:val="24"/>
          <w:rtl w:val="0"/>
        </w:rPr>
        <w:t xml:space="preserve">3.3 Uncertainty 3 — Effectiveness of the D3 Format Adaptation Layer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Architecture context.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D3 transforms a single content source into multiple platform-specific outputs. It is a parallel, stateless process, with no feedback loop.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Technical question.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Does automated adaptation improve engagement compared to non-adapted reposting?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Why this is architecturally uncertain.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The architecture creates: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multiple outputs from a single source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independent audience responses per platform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introduces a causality problem, in which engagement differences must be attributed solely to adaptation rather than to platform variability or randomness. In addition, inconsistent adaptation may reduce perceived authenticity.</w:t>
      </w:r>
    </w:p>
    <w:p>
      <w:pPr>
        <w:spacing w:after="40" w:before="1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Resolution approach.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controlled comparison: adapted vs identical content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platform-specific performance analysis</w:t>
      </w:r>
    </w:p>
    <w:p>
      <w:pPr>
        <w:numPr>
          <w:ilvl w:val="0"/>
          <w:numId w:val="1"/>
        </w:numPr>
        <w:spacing w:after="16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category-level evaluation</w:t>
      </w:r>
    </w:p>
    <w:p>
      <w:pPr>
        <w:spacing w:after="120" w:before="240" w:lineRule="auto"/>
        <w:rPr/>
      </w:pPr>
      <w:r>
        <w:rPr>
          <w:rFonts w:ascii="Arial" w:cs="Arial" w:eastAsia="Arial" w:hAnsi="Arial"/>
          <w:b w:val="1"/>
          <w:bCs w:val="1"/>
          <w:color w:val="1d9e75"/>
          <w:sz w:val="24"/>
          <w:szCs w:val="24"/>
          <w:rtl w:val="0"/>
        </w:rPr>
        <w:t xml:space="preserve">3.4 Uncertainty 4 — Accuracy of the D4 Sentiment-Gated Pause Loop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Architecture context.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D4 is a closed-loop safety system consisting of: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Sentiment Monitor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Sentiment Log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Workflow-entry pause check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It governs whether the system executes at all.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Technical question.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What are the false-positive and false-negative rates of this system?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Why this is architecturally uncertain.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D4: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applies static thresholds to dynamic real-world conditions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influences the entire workflow at entry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relies on judgment-based tuning rather than empirical validation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creates a risk trade-off: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False positives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unnecessary operational disruption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False negatives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reputational or brand damage</w:t>
      </w:r>
    </w:p>
    <w:p>
      <w:pPr>
        <w:spacing w:after="40" w:before="1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Resolution approach.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measure pause-trigger events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compare against real-world outcomes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tune thresholds empirically</w:t>
      </w:r>
    </w:p>
    <w:p>
      <w:pPr>
        <w:numPr>
          <w:ilvl w:val="0"/>
          <w:numId w:val="1"/>
        </w:numPr>
        <w:spacing w:after="16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validate using audit logs</w:t>
      </w:r>
    </w:p>
    <w:p>
      <w:pP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0"/>
        </w:rPr>
        <w:t xml:space="preserve">4. Why These Are Valid R&amp;D Uncertainties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All four uncertainties arise from architectural behaviour, not component design: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D1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execution-level uncertainty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D2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feedback-loop convergence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D3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transformation effectiveness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D4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— safety system accuracy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These uncertainties: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emerge only under production conditions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cannot be predicted through design or documentation</w:t>
      </w:r>
    </w:p>
    <w:p>
      <w:pPr>
        <w:numPr>
          <w:ilvl w:val="0"/>
          <w:numId w:val="1"/>
        </w:numPr>
        <w:spacing w:after="12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require empirical measurement and iteration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This aligns directly with IRAP’s definition of experimental development.</w:t>
      </w:r>
    </w:p>
    <w:p>
      <w:pP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0"/>
        </w:rPr>
        <w:t xml:space="preserve">5. Expected Outcomes</w:t>
      </w:r>
    </w:p>
    <w:p>
      <w:pPr>
        <w:spacing w:after="80" w:before="80" w:line="300" w:lineRule="auto"/>
        <w:jc w:val="both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Resolution of these uncertainties will produce: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measured failure-rate benchmarks (D1)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validated or refuted convergence behaviour (D2)</w:t>
      </w:r>
    </w:p>
    <w:p>
      <w:pPr>
        <w:numPr>
          <w:ilvl w:val="0"/>
          <w:numId w:val="1"/>
        </w:numPr>
        <w:spacing w:after="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quantified adaptation effectiveness (D3)</w:t>
      </w:r>
    </w:p>
    <w:p>
      <w:pPr>
        <w:numPr>
          <w:ilvl w:val="0"/>
          <w:numId w:val="1"/>
        </w:numPr>
        <w:spacing w:after="140" w:before="20" w:line="300" w:lineRule="auto"/>
        <w:rPr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empirically tuned safety thresholds (D4)</w:t>
      </w:r>
    </w:p>
    <w:p>
      <w:pPr>
        <w:spacing w:after="80" w:before="120" w:line="300" w:lineRule="auto"/>
        <w:jc w:val="both"/>
        <w:rPr/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Importantly: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negative or limiting results still constitute valid R&amp;D outputs by resolving uncertainty.</w:t>
      </w:r>
    </w:p>
    <w:p>
      <w:pPr>
        <w:spacing w:after="180" w:before="360" w:lineRule="auto"/>
        <w:rPr/>
      </w:pPr>
      <w:r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0"/>
        </w:rPr>
        <w:t xml:space="preserve">6. One-Line ITA Summary</w:t>
      </w:r>
    </w:p>
    <w:tbl>
      <w:tblPr>
        <w:tblW w:w="9360.0" w:type="dxa"/>
        <w:jc w:val="left"/>
        <w:tblBorders>
          <w:top w:color="f0d066" w:space="0" w:sz="6" w:val="single"/>
          <w:left w:color="f0d066" w:space="0" w:sz="6" w:val="single"/>
          <w:bottom w:color="f0d066" w:space="0" w:sz="6" w:val="single"/>
          <w:right w:color="f0d066" w:space="0" w:sz="6" w:val="single"/>
        </w:tblBorders>
        <w:tblLayout w:type="fixed"/>
        <w:tblLook w:val="0000"/>
      </w:tblPr>
      <w:tblGrid>
        <w:gridCol w:w="9360"/>
      </w:tblGrid>
      <w:tr>
        <w:tc>
          <w:tcPr>
            <w:tcW w:w="9360.0" w:type="dxa"/>
            <w:shd w:fill="fffbe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>
            <w:pPr>
              <w:spacing w:after="0" w:before="0" w:line="300" w:lineRule="auto"/>
              <w:jc w:val="both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1a3a6b"/>
                <w:sz w:val="22"/>
                <w:szCs w:val="22"/>
                <w:rtl w:val="0"/>
              </w:rPr>
              <w:t xml:space="preserve">“Each uncertainty maps directly to a defined architectural decision point — either a per-execution gate or a closed-loop control system — and can only be resolved through production-scale measurement of system behaviour.”</w:t>
            </w:r>
          </w:p>
        </w:tc>
      </w:tr>
    </w:tbl>
    <w:p>
      <w:pPr>
        <w:spacing w:after="80" w:before="0" w:lineRule="auto"/>
        <w:rPr/>
      </w:pPr>
    </w:p>
    <w:sectPr>
      <w:headerReference r:id="rId9" w:type="default"/>
      <w:footerReference r:id="rId10" w:type="default"/>
      <w:pgSz w:h="15840" w:w="12240" w:orient="portrait"/>
      <w:pgMar w:bottom="1800" w:top="216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color="1d9e75" w:space="6" w:sz="8" w:val="single"/>
      </w:pBdr>
      <w:spacing w:after="60"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spacing w:after="40" w:before="0" w:lineRule="auto"/>
      <w:jc w:val="center"/>
      <w:rPr/>
    </w:pPr>
    <w:r w:rsidDel="00000000" w:rsidR="00000000" w:rsidRPr="00000000">
      <w:rPr>
        <w:rFonts w:ascii="Arial" w:cs="Arial" w:eastAsia="Arial" w:hAnsi="Arial"/>
        <w:color w:val="1a3a6b"/>
        <w:sz w:val="17"/>
        <w:szCs w:val="17"/>
        <w:rtl w:val="0"/>
      </w:rPr>
      <w:t xml:space="preserve">PostaraTrend Technologies Inc.  ·  Corp. No. 2028037402  ·  BN 726572233  ·  Calgary, AB, T3P 2E9  ·  Page </w:t>
    </w:r>
    <w:r w:rsidDel="00000000" w:rsidR="00000000" w:rsidRPr="00000000">
      <w:rPr>
        <w:rFonts w:ascii="Arial" w:cs="Arial" w:eastAsia="Arial" w:hAnsi="Arial"/>
        <w:color w:val="1a3a6b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1a3a6b"/>
        <w:sz w:val="17"/>
        <w:szCs w:val="17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1a3a6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spacing w:after="40" w:before="0" w:lineRule="auto"/>
      <w:jc w:val="center"/>
      <w:rPr/>
    </w:pPr>
    <w:r w:rsidDel="00000000" w:rsidR="00000000" w:rsidRPr="00000000">
      <w:rPr>
        <w:rFonts w:ascii="Arial" w:cs="Arial" w:eastAsia="Arial" w:hAnsi="Arial"/>
        <w:color w:val="8b8fa8"/>
        <w:sz w:val="17"/>
        <w:szCs w:val="17"/>
        <w:rtl w:val="0"/>
      </w:rPr>
      <w:t xml:space="preserve">postaratrend.ca  ·  admin@postaratrend.ca  ·  +1 587 889 8213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spacing w:after="0" w:before="0" w:lineRule="auto"/>
      <w:jc w:val="center"/>
      <w:rPr/>
    </w:pPr>
    <w:r w:rsidDel="00000000" w:rsidR="00000000" w:rsidRPr="00000000">
      <w:rPr>
        <w:rFonts w:ascii="Arial" w:cs="Arial" w:eastAsia="Arial" w:hAnsi="Arial"/>
        <w:color w:val="8b8fa8"/>
        <w:sz w:val="17"/>
        <w:szCs w:val="17"/>
        <w:rtl w:val="0"/>
      </w:rPr>
      <w:t xml:space="preserve">LinkedIn: linkedin.com/company/postaratrend-technologies  ·  Facebook: facebook.com/PostaraTrendTechnologies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0"/>
      <w:gridCol w:w="8160"/>
      <w:tblGridChange w:id="0">
        <w:tblGrid>
          <w:gridCol w:w="1200"/>
          <w:gridCol w:w="81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200.0" w:type="dxa"/>
          </w:tcMar>
          <w:vAlign w:val="center"/>
        </w:tcPr>
        <w:p w:rsidR="00000000" w:rsidDel="00000000" w:rsidP="00000000" w:rsidRDefault="00000000" w:rsidRPr="00000000" w14:paraId="0000007C">
          <w:pPr>
            <w:jc w:val="left"/>
            <w:rPr/>
          </w:pPr>
          <w:r w:rsidDel="00000000" w:rsidR="00000000" w:rsidRPr="00000000">
            <w:rPr/>
            <w:drawing>
              <wp:inline distB="0" distT="0" distL="0" distR="0">
                <wp:extent cx="571500" cy="5715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7D">
          <w:pPr>
            <w:spacing w:after="40" w:before="0" w:lineRule="auto"/>
            <w:jc w:val="left"/>
            <w:rPr/>
          </w:pPr>
          <w:r w:rsidDel="00000000" w:rsidR="00000000" w:rsidRPr="00000000">
            <w:rPr>
              <w:rFonts w:ascii="Georgia" w:cs="Georgia" w:eastAsia="Georgia" w:hAnsi="Georgia"/>
              <w:b w:val="1"/>
              <w:bCs w:val="1"/>
              <w:color w:val="1a3a6b"/>
              <w:sz w:val="32"/>
              <w:szCs w:val="32"/>
              <w:rtl w:val="0"/>
            </w:rPr>
            <w:t xml:space="preserve">Postara</w:t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color w:val="1d9e75"/>
              <w:sz w:val="32"/>
              <w:szCs w:val="32"/>
              <w:rtl w:val="0"/>
            </w:rPr>
            <w:t xml:space="preserve">·</w:t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color w:val="1a3a6b"/>
              <w:sz w:val="32"/>
              <w:szCs w:val="32"/>
              <w:rtl w:val="0"/>
            </w:rPr>
            <w:t xml:space="preserve">Trend</w:t>
          </w:r>
          <w:r w:rsidDel="00000000" w:rsidR="00000000" w:rsidRPr="00000000">
            <w:rPr>
              <w:rFonts w:ascii="Georgia" w:cs="Georgia" w:eastAsia="Georgia" w:hAnsi="Georgia"/>
              <w:color w:val="1a3a6b"/>
              <w:sz w:val="26"/>
              <w:szCs w:val="26"/>
              <w:rtl w:val="0"/>
            </w:rPr>
            <w:t xml:space="preserve">  Technologies Inc.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spacing w:after="0" w:before="0" w:lineRule="auto"/>
            <w:jc w:val="left"/>
            <w:rPr/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color w:val="8b8fa8"/>
              <w:sz w:val="19"/>
              <w:szCs w:val="19"/>
              <w:rtl w:val="0"/>
            </w:rPr>
            <w:t xml:space="preserve">Trend intelligence for the digital age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pBdr>
        <w:bottom w:color="1d9e75" w:space="1" w:sz="12" w:val="single"/>
      </w:pBdr>
      <w:spacing w:after="0" w:before="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image" Target="media/figur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tZHMYc//6U6U4H6P7YdM1BNnwQ==">CgMxLjAaJAoBMBIfCh0IB0IZCgVBcmlhbBIQQXJpYWwgVW5pY29kZSBNUzgAciExVC1TYnQtcmltVUVIR0g4WWxHbDlPNmdITjJVVkNzcUU=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