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40"/>
      </w:pPr>
      <w:r>
        <w:t>Statistiek voor tandheelkundig onderzoek</w:t>
      </w:r>
    </w:p>
    <w:p>
      <w:pPr>
        <w:spacing w:after="240"/>
      </w:pPr>
      <w:r>
        <w:rPr>
          <w:b/>
          <w:color w:val="138A8A"/>
          <w:sz w:val="24"/>
        </w:rPr>
        <w:t>Jaar 2 | Practicum 2 | 2026-2027</w:t>
      </w:r>
      <w:r>
        <w:rPr>
          <w:color w:val="15364A"/>
        </w:rPr>
        <w:t xml:space="preserve">   ANTWOORDEN</w:t>
      </w:r>
    </w:p>
    <w:p>
      <w:r>
        <w:t>In dit practicum breiden we een lineair regressiemodel uit met een tweede voorspeller en een interactieterm. Daarna voeren we een logistische regressie uit met een binaire uitkomst. We gebruiken pockets.sav en endodontic_study.sav.</w:t>
      </w:r>
    </w:p>
    <w:tbl>
      <w:tblPr>
        <w:tblW w:type="auto" w:w="0"/>
        <w:jc w:val="center"/>
        <w:tblLook w:firstColumn="1" w:firstRow="1" w:lastColumn="0" w:lastRow="0" w:noHBand="0" w:noVBand="1" w:val="04A0"/>
      </w:tblPr>
      <w:tblGrid>
        <w:gridCol w:w="9866"/>
      </w:tblGrid>
      <w:tr>
        <w:tc>
          <w:tcPr>
            <w:tcW w:type="dxa" w:w="9866"/>
            <w:shd w:fill="E8F4F3"/>
            <w:tcBorders>
              <w:bottom w:val="single" w:sz="4" w:color="FFFFFF"/>
            </w:tcBorders>
            <w:vAlign w:val="center"/>
          </w:tcPr>
          <w:p>
            <w:pPr>
              <w:spacing w:after="0"/>
            </w:pPr>
            <w:r>
              <w:rPr>
                <w:b/>
                <w:color w:val="15364A"/>
              </w:rPr>
              <w:t>1. Meervoudige lineaire regressie: leeftijd en roken</w:t>
            </w:r>
          </w:p>
        </w:tc>
      </w:tr>
      <w:tr>
        <w:tc>
          <w:tcPr>
            <w:tcW w:type="dxa" w:w="9866"/>
            <w:shd w:fill="E8F4F3"/>
            <w:tcBorders>
              <w:bottom w:val="single" w:sz="4" w:color="FFFFFF"/>
            </w:tcBorders>
            <w:vAlign w:val="center"/>
          </w:tcPr>
          <w:p>
            <w:pPr>
              <w:spacing w:after="0"/>
            </w:pPr>
            <w:r>
              <w:rPr>
                <w:b/>
                <w:color w:val="15364A"/>
              </w:rPr>
              <w:t>2. Interactie tussen leeftijd en roken</w:t>
            </w:r>
          </w:p>
        </w:tc>
      </w:tr>
      <w:tr>
        <w:tc>
          <w:tcPr>
            <w:tcW w:type="dxa" w:w="9866"/>
            <w:shd w:fill="E8F4F3"/>
            <w:tcBorders>
              <w:bottom w:val="single" w:sz="4" w:color="FFFFFF"/>
            </w:tcBorders>
            <w:vAlign w:val="center"/>
          </w:tcPr>
          <w:p>
            <w:pPr>
              <w:spacing w:after="0"/>
            </w:pPr>
            <w:r>
              <w:rPr>
                <w:b/>
                <w:color w:val="15364A"/>
              </w:rPr>
              <w:t>3. Logistische regressie: kans op behandelsucces</w:t>
            </w:r>
          </w:p>
        </w:tc>
      </w:tr>
    </w:tbl>
    <w:p/>
    <w:tbl>
      <w:tblPr>
        <w:tblW w:type="auto" w:w="0"/>
        <w:jc w:val="center"/>
        <w:tblLook w:firstColumn="1" w:firstRow="1" w:lastColumn="0" w:lastRow="0" w:noHBand="0" w:noVBand="1" w:val="04A0"/>
      </w:tblPr>
      <w:tblGrid>
        <w:gridCol w:w="9866"/>
      </w:tblGrid>
      <w:tr>
        <w:trPr>
          <w:cantSplit w:val="true"/>
        </w:trPr>
        <w:tc>
          <w:tcPr>
            <w:tcW w:type="dxa" w:w="9866"/>
            <w:shd w:fill="EAF2F7"/>
            <w:tcBorders>
              <w:left w:val="single" w:sz="18" w:color="138A8A"/>
              <w:top w:val="single" w:sz="2" w:color="EAF2F7"/>
              <w:right w:val="single" w:sz="2" w:color="EAF2F7"/>
              <w:bottom w:val="single" w:sz="2" w:color="EAF2F7"/>
            </w:tcBorders>
          </w:tcPr>
          <w:p>
            <w:pPr>
              <w:spacing w:after="0"/>
            </w:pPr>
            <w:r>
              <w:rPr>
                <w:b/>
                <w:color w:val="138A8A"/>
              </w:rPr>
              <w:t xml:space="preserve">Bestanden: </w:t>
            </w:r>
            <w:r>
              <w:t>Voor onderdelen 1 en 2 gebruiken we pockets.sav. In onderdeel 3 gebruiken we endodontic_study.sav voor logistische regressie.</w:t>
            </w:r>
          </w:p>
        </w:tc>
      </w:tr>
    </w:tbl>
    <w:p>
      <w:pPr>
        <w:pStyle w:val="Heading1"/>
      </w:pPr>
      <w:r>
        <w:t>1. Meervoudige lineaire regressie</w:t>
      </w:r>
    </w:p>
    <w:p>
      <w:pPr>
        <w:spacing w:after="40"/>
        <w:jc w:val="center"/>
      </w:pPr>
      <w:r>
        <w:drawing>
          <wp:inline xmlns:a="http://schemas.openxmlformats.org/drawingml/2006/main" xmlns:pic="http://schemas.openxmlformats.org/drawingml/2006/picture">
            <wp:extent cx="4860000" cy="3037500"/>
            <wp:docPr id="1" name="Picture 1"/>
            <wp:cNvGraphicFramePr>
              <a:graphicFrameLocks noChangeAspect="1"/>
            </wp:cNvGraphicFramePr>
            <a:graphic>
              <a:graphicData uri="http://schemas.openxmlformats.org/drawingml/2006/picture">
                <pic:pic>
                  <pic:nvPicPr>
                    <pic:cNvPr id="0" name="exploratory_age_smoking_scatter.png"/>
                    <pic:cNvPicPr/>
                  </pic:nvPicPr>
                  <pic:blipFill>
                    <a:blip r:embed="rId11"/>
                    <a:stretch>
                      <a:fillRect/>
                    </a:stretch>
                  </pic:blipFill>
                  <pic:spPr>
                    <a:xfrm>
                      <a:off x="0" y="0"/>
                      <a:ext cx="4860000" cy="3037500"/>
                    </a:xfrm>
                    <a:prstGeom prst="rect"/>
                  </pic:spPr>
                </pic:pic>
              </a:graphicData>
            </a:graphic>
          </wp:inline>
        </w:drawing>
      </w:r>
    </w:p>
    <w:p>
      <w:pPr>
        <w:pStyle w:val="Smallnote"/>
        <w:spacing w:after="120"/>
        <w:jc w:val="center"/>
      </w:pPr>
      <w:r>
        <w:t>Pocketdiepte tegen leeftijd; de kleur geeft de rookstatus aan.</w:t>
      </w:r>
    </w:p>
    <w:p>
      <w:pPr>
        <w:keepNext/>
        <w:spacing w:before="100" w:after="80"/>
      </w:pPr>
      <w:r>
        <w:rPr>
          <w:b/>
          <w:color w:val="138A8A"/>
        </w:rPr>
        <w:t xml:space="preserve">1a. </w:t>
      </w:r>
      <w:r>
        <w:t>Beschrijf wat de scatterplot laat zien. Let op de richting en vorm van het verband tussen leeftijd en pocketdiepte, de positie en overlap van rokers en niet-rokers en eventuele opvallende waarnemingen.</w:t>
      </w:r>
    </w:p>
    <w:tbl>
      <w:tblPr>
        <w:tblW w:type="auto" w:w="0"/>
        <w:jc w:val="center"/>
        <w:tblLook w:firstColumn="1" w:firstRow="1" w:lastColumn="0" w:lastRow="0" w:noHBand="0" w:noVBand="1" w:val="04A0"/>
      </w:tblPr>
      <w:tblGrid>
        <w:gridCol w:w="9866"/>
      </w:tblGrid>
      <w:tr>
        <w:trPr>
          <w:cantSplit w:val="true"/>
        </w:trPr>
        <w:tc>
          <w:tcPr>
            <w:tcW w:type="dxa" w:w="9866"/>
            <w:shd w:fill="E8F4F3"/>
            <w:tcBorders>
              <w:top w:val="single" w:sz="5" w:color="B8D9D5"/>
              <w:left w:val="single" w:sz="5" w:color="B8D9D5"/>
              <w:bottom w:val="single" w:sz="5" w:color="B8D9D5"/>
              <w:right w:val="single" w:sz="5" w:color="B8D9D5"/>
            </w:tcBorders>
          </w:tcPr>
          <w:p>
            <w:pPr>
              <w:pStyle w:val="Answer"/>
              <w:spacing w:after="0"/>
            </w:pPr>
            <w:r>
              <w:t>Pocketdiepte neemt over het algemeen toe met de leeftijd en het verband lijkt ongeveer lineair. Rokers bevinden zich relatief vaak bij hogere leeftijden en hogere pocketdiepten, maar de twee groepen overlappen duidelijk. Er is geen afzonderlijke waarneming die het patroon lijkt te bepalen.</w:t>
            </w:r>
          </w:p>
        </w:tc>
      </w:tr>
    </w:tbl>
    <w:p>
      <w:pPr>
        <w:spacing w:after="0"/>
      </w:pPr>
    </w:p>
    <w:p>
      <w:r>
        <w:br w:type="page"/>
      </w:r>
    </w:p>
    <w:p>
      <w:pPr>
        <w:pStyle w:val="Heading2"/>
      </w:pPr>
      <w:r>
        <w:t>Model Summary</w:t>
      </w:r>
    </w:p>
    <w:tbl>
      <w:tblPr>
        <w:tblStyle w:val="TableGrid"/>
        <w:tblW w:type="auto" w:w="0"/>
        <w:jc w:val="center"/>
        <w:tblLook w:firstColumn="1" w:firstRow="1" w:lastColumn="0" w:lastRow="0" w:noHBand="0" w:noVBand="1" w:val="04A0"/>
      </w:tblPr>
      <w:tblGrid>
        <w:gridCol w:w="3289"/>
        <w:gridCol w:w="3289"/>
        <w:gridCol w:w="3289"/>
      </w:tblGrid>
      <w:tr>
        <w:trPr>
          <w:tblHeader w:val="true"/>
        </w:trPr>
        <w:tc>
          <w:tcPr>
            <w:tcW w:type="dxa" w:w="3289"/>
            <w:shd w:fill="15364A"/>
          </w:tcPr>
          <w:p>
            <w:pPr>
              <w:spacing w:after="0"/>
              <w:jc w:val="center"/>
            </w:pPr>
            <w:r>
              <w:rPr>
                <w:b/>
                <w:color w:val="FFFFFF"/>
                <w:sz w:val="18"/>
              </w:rPr>
              <w:t>R Square</w:t>
            </w:r>
          </w:p>
        </w:tc>
        <w:tc>
          <w:tcPr>
            <w:tcW w:type="dxa" w:w="3289"/>
            <w:shd w:fill="15364A"/>
          </w:tcPr>
          <w:p>
            <w:pPr>
              <w:spacing w:after="0"/>
              <w:jc w:val="center"/>
            </w:pPr>
            <w:r>
              <w:rPr>
                <w:b/>
                <w:color w:val="FFFFFF"/>
                <w:sz w:val="18"/>
              </w:rPr>
              <w:t>Adjusted R Square</w:t>
            </w:r>
          </w:p>
        </w:tc>
        <w:tc>
          <w:tcPr>
            <w:tcW w:type="dxa" w:w="3289"/>
            <w:shd w:fill="15364A"/>
          </w:tcPr>
          <w:p>
            <w:pPr>
              <w:spacing w:after="0"/>
              <w:jc w:val="center"/>
            </w:pPr>
            <w:r>
              <w:rPr>
                <w:b/>
                <w:color w:val="FFFFFF"/>
                <w:sz w:val="18"/>
              </w:rPr>
              <w:t>Std. Error</w:t>
            </w:r>
          </w:p>
        </w:tc>
      </w:tr>
      <w:tr>
        <w:tc>
          <w:tcPr>
            <w:tcW w:type="dxa" w:w="3289"/>
          </w:tcPr>
          <w:p>
            <w:pPr>
              <w:spacing w:after="0"/>
              <w:jc w:val="center"/>
            </w:pPr>
            <w:r>
              <w:rPr>
                <w:sz w:val="18"/>
              </w:rPr>
              <w:t>0,167</w:t>
            </w:r>
          </w:p>
        </w:tc>
        <w:tc>
          <w:tcPr>
            <w:tcW w:type="dxa" w:w="3289"/>
          </w:tcPr>
          <w:p>
            <w:pPr>
              <w:spacing w:after="0"/>
              <w:jc w:val="center"/>
            </w:pPr>
            <w:r>
              <w:rPr>
                <w:sz w:val="18"/>
              </w:rPr>
              <w:t>0,150</w:t>
            </w:r>
          </w:p>
        </w:tc>
        <w:tc>
          <w:tcPr>
            <w:tcW w:type="dxa" w:w="3289"/>
          </w:tcPr>
          <w:p>
            <w:pPr>
              <w:spacing w:after="0"/>
              <w:jc w:val="center"/>
            </w:pPr>
            <w:r>
              <w:rPr>
                <w:sz w:val="18"/>
              </w:rPr>
              <w:t>0,745</w:t>
            </w:r>
          </w:p>
        </w:tc>
      </w:tr>
    </w:tbl>
    <w:p>
      <w:pPr>
        <w:spacing w:after="0"/>
      </w:pPr>
    </w:p>
    <w:p>
      <w:pPr>
        <w:pStyle w:val="Heading2"/>
      </w:pPr>
      <w:r>
        <w:t>Coefficients</w:t>
      </w:r>
    </w:p>
    <w:tbl>
      <w:tblPr>
        <w:tblStyle w:val="TableGrid"/>
        <w:tblW w:type="auto" w:w="0"/>
        <w:jc w:val="center"/>
        <w:tblLook w:firstColumn="1" w:firstRow="1" w:lastColumn="0" w:lastRow="0" w:noHBand="0" w:noVBand="1" w:val="04A0"/>
      </w:tblPr>
      <w:tblGrid>
        <w:gridCol w:w="1973"/>
        <w:gridCol w:w="1973"/>
        <w:gridCol w:w="1973"/>
        <w:gridCol w:w="1973"/>
        <w:gridCol w:w="1973"/>
      </w:tblGrid>
      <w:tr>
        <w:trPr>
          <w:tblHeader w:val="true"/>
        </w:trPr>
        <w:tc>
          <w:tcPr>
            <w:tcW w:type="dxa" w:w="1973"/>
            <w:shd w:fill="15364A"/>
          </w:tcPr>
          <w:p>
            <w:pPr>
              <w:spacing w:after="0"/>
              <w:jc w:val="center"/>
            </w:pPr>
            <w:r>
              <w:rPr>
                <w:b/>
                <w:color w:val="FFFFFF"/>
                <w:sz w:val="18"/>
              </w:rPr>
              <w:t>Term</w:t>
            </w:r>
          </w:p>
        </w:tc>
        <w:tc>
          <w:tcPr>
            <w:tcW w:type="dxa" w:w="1973"/>
            <w:shd w:fill="15364A"/>
          </w:tcPr>
          <w:p>
            <w:pPr>
              <w:spacing w:after="0"/>
              <w:jc w:val="center"/>
            </w:pPr>
            <w:r>
              <w:rPr>
                <w:b/>
                <w:color w:val="FFFFFF"/>
                <w:sz w:val="18"/>
              </w:rPr>
              <w:t>B</w:t>
            </w:r>
          </w:p>
        </w:tc>
        <w:tc>
          <w:tcPr>
            <w:tcW w:type="dxa" w:w="1973"/>
            <w:shd w:fill="15364A"/>
          </w:tcPr>
          <w:p>
            <w:pPr>
              <w:spacing w:after="0"/>
              <w:jc w:val="center"/>
            </w:pPr>
            <w:r>
              <w:rPr>
                <w:b/>
                <w:color w:val="FFFFFF"/>
                <w:sz w:val="18"/>
              </w:rPr>
              <w:t>Std. Error</w:t>
            </w:r>
          </w:p>
        </w:tc>
        <w:tc>
          <w:tcPr>
            <w:tcW w:type="dxa" w:w="1973"/>
            <w:shd w:fill="15364A"/>
          </w:tcPr>
          <w:p>
            <w:pPr>
              <w:spacing w:after="0"/>
              <w:jc w:val="center"/>
            </w:pPr>
            <w:r>
              <w:rPr>
                <w:b/>
                <w:color w:val="FFFFFF"/>
                <w:sz w:val="18"/>
              </w:rPr>
              <w:t>95%-BI</w:t>
            </w:r>
          </w:p>
        </w:tc>
        <w:tc>
          <w:tcPr>
            <w:tcW w:type="dxa" w:w="1973"/>
            <w:shd w:fill="15364A"/>
          </w:tcPr>
          <w:p>
            <w:pPr>
              <w:spacing w:after="0"/>
              <w:jc w:val="center"/>
            </w:pPr>
            <w:r>
              <w:rPr>
                <w:b/>
                <w:color w:val="FFFFFF"/>
                <w:sz w:val="18"/>
              </w:rPr>
              <w:t>p</w:t>
            </w:r>
          </w:p>
        </w:tc>
      </w:tr>
      <w:tr>
        <w:tc>
          <w:tcPr>
            <w:tcW w:type="dxa" w:w="1973"/>
          </w:tcPr>
          <w:p>
            <w:pPr>
              <w:spacing w:after="0"/>
              <w:jc w:val="center"/>
            </w:pPr>
            <w:r>
              <w:rPr>
                <w:sz w:val="18"/>
              </w:rPr>
              <w:t>Constant</w:t>
            </w:r>
          </w:p>
        </w:tc>
        <w:tc>
          <w:tcPr>
            <w:tcW w:type="dxa" w:w="1973"/>
          </w:tcPr>
          <w:p>
            <w:pPr>
              <w:spacing w:after="0"/>
              <w:jc w:val="center"/>
            </w:pPr>
            <w:r>
              <w:rPr>
                <w:sz w:val="18"/>
              </w:rPr>
              <w:t>3,890</w:t>
            </w:r>
          </w:p>
        </w:tc>
        <w:tc>
          <w:tcPr>
            <w:tcW w:type="dxa" w:w="1973"/>
          </w:tcPr>
          <w:p>
            <w:pPr>
              <w:spacing w:after="0"/>
              <w:jc w:val="center"/>
            </w:pPr>
            <w:r>
              <w:rPr>
                <w:sz w:val="18"/>
              </w:rPr>
              <w:t>0,227</w:t>
            </w:r>
          </w:p>
        </w:tc>
        <w:tc>
          <w:tcPr>
            <w:tcW w:type="dxa" w:w="1973"/>
          </w:tcPr>
          <w:p>
            <w:pPr>
              <w:spacing w:after="0"/>
              <w:jc w:val="center"/>
            </w:pPr>
            <w:r>
              <w:rPr>
                <w:sz w:val="18"/>
              </w:rPr>
              <w:t>3,446 tot 4,334</w:t>
            </w:r>
          </w:p>
        </w:tc>
        <w:tc>
          <w:tcPr>
            <w:tcW w:type="dxa" w:w="1973"/>
          </w:tcPr>
          <w:p>
            <w:pPr>
              <w:spacing w:after="0"/>
              <w:jc w:val="center"/>
            </w:pPr>
            <w:r>
              <w:rPr>
                <w:sz w:val="18"/>
              </w:rPr>
              <w:t>&lt; 0,001</w:t>
            </w:r>
          </w:p>
        </w:tc>
      </w:tr>
      <w:tr>
        <w:tc>
          <w:tcPr>
            <w:tcW w:type="dxa" w:w="1973"/>
            <w:shd w:fill="F3F5F6"/>
          </w:tcPr>
          <w:p>
            <w:pPr>
              <w:spacing w:after="0"/>
              <w:jc w:val="center"/>
            </w:pPr>
            <w:r>
              <w:rPr>
                <w:sz w:val="18"/>
              </w:rPr>
              <w:t>leeftijd</w:t>
            </w:r>
          </w:p>
        </w:tc>
        <w:tc>
          <w:tcPr>
            <w:tcW w:type="dxa" w:w="1973"/>
            <w:shd w:fill="F3F5F6"/>
          </w:tcPr>
          <w:p>
            <w:pPr>
              <w:spacing w:after="0"/>
              <w:jc w:val="center"/>
            </w:pPr>
            <w:r>
              <w:rPr>
                <w:sz w:val="18"/>
              </w:rPr>
              <w:t>0,018</w:t>
            </w:r>
          </w:p>
        </w:tc>
        <w:tc>
          <w:tcPr>
            <w:tcW w:type="dxa" w:w="1973"/>
            <w:shd w:fill="F3F5F6"/>
          </w:tcPr>
          <w:p>
            <w:pPr>
              <w:spacing w:after="0"/>
              <w:jc w:val="center"/>
            </w:pPr>
            <w:r>
              <w:rPr>
                <w:sz w:val="18"/>
              </w:rPr>
              <w:t>0,005</w:t>
            </w:r>
          </w:p>
        </w:tc>
        <w:tc>
          <w:tcPr>
            <w:tcW w:type="dxa" w:w="1973"/>
            <w:shd w:fill="F3F5F6"/>
          </w:tcPr>
          <w:p>
            <w:pPr>
              <w:spacing w:after="0"/>
              <w:jc w:val="center"/>
            </w:pPr>
            <w:r>
              <w:rPr>
                <w:sz w:val="18"/>
              </w:rPr>
              <w:t>0,007 tot 0,028</w:t>
            </w:r>
          </w:p>
        </w:tc>
        <w:tc>
          <w:tcPr>
            <w:tcW w:type="dxa" w:w="1973"/>
            <w:shd w:fill="F3F5F6"/>
          </w:tcPr>
          <w:p>
            <w:pPr>
              <w:spacing w:after="0"/>
              <w:jc w:val="center"/>
            </w:pPr>
            <w:r>
              <w:rPr>
                <w:sz w:val="18"/>
              </w:rPr>
              <w:t>0,001</w:t>
            </w:r>
          </w:p>
        </w:tc>
      </w:tr>
      <w:tr>
        <w:tc>
          <w:tcPr>
            <w:tcW w:type="dxa" w:w="1973"/>
          </w:tcPr>
          <w:p>
            <w:pPr>
              <w:spacing w:after="0"/>
              <w:jc w:val="center"/>
            </w:pPr>
            <w:r>
              <w:rPr>
                <w:sz w:val="18"/>
              </w:rPr>
              <w:t>roken</w:t>
            </w:r>
          </w:p>
        </w:tc>
        <w:tc>
          <w:tcPr>
            <w:tcW w:type="dxa" w:w="1973"/>
          </w:tcPr>
          <w:p>
            <w:pPr>
              <w:spacing w:after="0"/>
              <w:jc w:val="center"/>
            </w:pPr>
            <w:r>
              <w:rPr>
                <w:sz w:val="18"/>
              </w:rPr>
              <w:t>0,324</w:t>
            </w:r>
          </w:p>
        </w:tc>
        <w:tc>
          <w:tcPr>
            <w:tcW w:type="dxa" w:w="1973"/>
          </w:tcPr>
          <w:p>
            <w:pPr>
              <w:spacing w:after="0"/>
              <w:jc w:val="center"/>
            </w:pPr>
            <w:r>
              <w:rPr>
                <w:sz w:val="18"/>
              </w:rPr>
              <w:t>0,177</w:t>
            </w:r>
          </w:p>
        </w:tc>
        <w:tc>
          <w:tcPr>
            <w:tcW w:type="dxa" w:w="1973"/>
          </w:tcPr>
          <w:p>
            <w:pPr>
              <w:spacing w:after="0"/>
              <w:jc w:val="center"/>
            </w:pPr>
            <w:r>
              <w:rPr>
                <w:sz w:val="18"/>
              </w:rPr>
              <w:t>-0,023 tot 0,671</w:t>
            </w:r>
          </w:p>
        </w:tc>
        <w:tc>
          <w:tcPr>
            <w:tcW w:type="dxa" w:w="1973"/>
          </w:tcPr>
          <w:p>
            <w:pPr>
              <w:spacing w:after="0"/>
              <w:jc w:val="center"/>
            </w:pPr>
            <w:r>
              <w:rPr>
                <w:sz w:val="18"/>
              </w:rPr>
              <w:t>0,071</w:t>
            </w:r>
          </w:p>
        </w:tc>
      </w:tr>
    </w:tbl>
    <w:p>
      <w:pPr>
        <w:spacing w:after="0"/>
      </w:pPr>
    </w:p>
    <w:p>
      <w:pPr>
        <w:keepNext/>
        <w:spacing w:before="100" w:after="80"/>
      </w:pPr>
      <w:r>
        <w:rPr>
          <w:b/>
          <w:color w:val="138A8A"/>
        </w:rPr>
        <w:t xml:space="preserve">1b. </w:t>
      </w:r>
      <w:r>
        <w:t>Welk percentage van de variantie in pocketdiepte wordt door het additieve model verklaard?</w:t>
      </w:r>
    </w:p>
    <w:tbl>
      <w:tblPr>
        <w:tblW w:type="auto" w:w="0"/>
        <w:jc w:val="center"/>
        <w:tblLook w:firstColumn="1" w:firstRow="1" w:lastColumn="0" w:lastRow="0" w:noHBand="0" w:noVBand="1" w:val="04A0"/>
      </w:tblPr>
      <w:tblGrid>
        <w:gridCol w:w="9866"/>
      </w:tblGrid>
      <w:tr>
        <w:trPr>
          <w:cantSplit w:val="true"/>
        </w:trPr>
        <w:tc>
          <w:tcPr>
            <w:tcW w:type="dxa" w:w="9866"/>
            <w:shd w:fill="E8F4F3"/>
            <w:tcBorders>
              <w:top w:val="single" w:sz="5" w:color="B8D9D5"/>
              <w:left w:val="single" w:sz="5" w:color="B8D9D5"/>
              <w:bottom w:val="single" w:sz="5" w:color="B8D9D5"/>
              <w:right w:val="single" w:sz="5" w:color="B8D9D5"/>
            </w:tcBorders>
          </w:tcPr>
          <w:p>
            <w:pPr>
              <w:pStyle w:val="Answer"/>
              <w:spacing w:after="0"/>
            </w:pPr>
            <w:r>
              <w:t>R Square is 0,167. Het model verklaart dus 16,7% van de waargenomen variantie in pocketdiepte.</w:t>
            </w:r>
          </w:p>
        </w:tc>
      </w:tr>
    </w:tbl>
    <w:p>
      <w:pPr>
        <w:spacing w:after="0"/>
      </w:pPr>
    </w:p>
    <w:p>
      <w:pPr>
        <w:keepNext/>
        <w:spacing w:before="100" w:after="80"/>
      </w:pPr>
      <w:r>
        <w:rPr>
          <w:b/>
          <w:color w:val="138A8A"/>
        </w:rPr>
        <w:t xml:space="preserve">1c. </w:t>
      </w:r>
      <w:r>
        <w:t>Bereken met de geschatte regressievergelijking de verwachte gemiddelde pocketdiepte voor een 60-jarige roker.</w:t>
      </w:r>
    </w:p>
    <w:tbl>
      <w:tblPr>
        <w:tblW w:type="auto" w:w="0"/>
        <w:jc w:val="center"/>
        <w:tblLook w:firstColumn="1" w:firstRow="1" w:lastColumn="0" w:lastRow="0" w:noHBand="0" w:noVBand="1" w:val="04A0"/>
      </w:tblPr>
      <w:tblGrid>
        <w:gridCol w:w="9866"/>
      </w:tblGrid>
      <w:tr>
        <w:trPr>
          <w:cantSplit w:val="true"/>
        </w:trPr>
        <w:tc>
          <w:tcPr>
            <w:tcW w:type="dxa" w:w="9866"/>
            <w:shd w:fill="E8F4F3"/>
            <w:tcBorders>
              <w:top w:val="single" w:sz="5" w:color="B8D9D5"/>
              <w:left w:val="single" w:sz="5" w:color="B8D9D5"/>
              <w:bottom w:val="single" w:sz="5" w:color="B8D9D5"/>
              <w:right w:val="single" w:sz="5" w:color="B8D9D5"/>
            </w:tcBorders>
          </w:tcPr>
          <w:p>
            <w:pPr>
              <w:pStyle w:val="Answer"/>
              <w:spacing w:after="0"/>
            </w:pPr>
            <w:r>
              <w:t>3,890 + 0,018 * 60 + 0,324 * 1 = 5,280 mm.</w:t>
            </w:r>
          </w:p>
        </w:tc>
      </w:tr>
    </w:tbl>
    <w:p>
      <w:pPr>
        <w:spacing w:after="0"/>
      </w:pPr>
    </w:p>
    <w:p>
      <w:pPr>
        <w:keepNext/>
        <w:spacing w:before="100" w:after="80"/>
      </w:pPr>
      <w:r>
        <w:rPr>
          <w:b/>
          <w:color w:val="138A8A"/>
        </w:rPr>
        <w:t xml:space="preserve">1d. </w:t>
      </w:r>
      <w:r>
        <w:t>Is het effect van leeftijd op pocketdiepte statistisch significant bij een significantieniveau van 5%? Onderbouw je antwoord met de p-waarde.</w:t>
      </w:r>
    </w:p>
    <w:tbl>
      <w:tblPr>
        <w:tblW w:type="auto" w:w="0"/>
        <w:jc w:val="center"/>
        <w:tblLook w:firstColumn="1" w:firstRow="1" w:lastColumn="0" w:lastRow="0" w:noHBand="0" w:noVBand="1" w:val="04A0"/>
      </w:tblPr>
      <w:tblGrid>
        <w:gridCol w:w="9866"/>
      </w:tblGrid>
      <w:tr>
        <w:trPr>
          <w:cantSplit w:val="true"/>
        </w:trPr>
        <w:tc>
          <w:tcPr>
            <w:tcW w:type="dxa" w:w="9866"/>
            <w:shd w:fill="E8F4F3"/>
            <w:tcBorders>
              <w:top w:val="single" w:sz="5" w:color="B8D9D5"/>
              <w:left w:val="single" w:sz="5" w:color="B8D9D5"/>
              <w:bottom w:val="single" w:sz="5" w:color="B8D9D5"/>
              <w:right w:val="single" w:sz="5" w:color="B8D9D5"/>
            </w:tcBorders>
          </w:tcPr>
          <w:p>
            <w:pPr>
              <w:pStyle w:val="Answer"/>
              <w:spacing w:after="0"/>
            </w:pPr>
            <w:r>
              <w:t>Ja. Voor leeftijd is p = 0,001. Het geschatte effect van leeftijd is dus statistisch significant.</w:t>
            </w:r>
          </w:p>
        </w:tc>
      </w:tr>
    </w:tbl>
    <w:p>
      <w:pPr>
        <w:spacing w:after="0"/>
      </w:pPr>
    </w:p>
    <w:p>
      <w:pPr>
        <w:keepNext/>
        <w:spacing w:before="100" w:after="80"/>
      </w:pPr>
      <w:r>
        <w:rPr>
          <w:b/>
          <w:color w:val="138A8A"/>
        </w:rPr>
        <w:t xml:space="preserve">1e. </w:t>
      </w:r>
      <w:r>
        <w:t>Is het effect van roken op pocketdiepte statistisch significant bij een significantieniveau van 5%? Onderbouw je antwoord met de p-waarde.</w:t>
      </w:r>
    </w:p>
    <w:tbl>
      <w:tblPr>
        <w:tblW w:type="auto" w:w="0"/>
        <w:jc w:val="center"/>
        <w:tblLook w:firstColumn="1" w:firstRow="1" w:lastColumn="0" w:lastRow="0" w:noHBand="0" w:noVBand="1" w:val="04A0"/>
      </w:tblPr>
      <w:tblGrid>
        <w:gridCol w:w="9866"/>
      </w:tblGrid>
      <w:tr>
        <w:trPr>
          <w:cantSplit w:val="true"/>
        </w:trPr>
        <w:tc>
          <w:tcPr>
            <w:tcW w:type="dxa" w:w="9866"/>
            <w:shd w:fill="E8F4F3"/>
            <w:tcBorders>
              <w:top w:val="single" w:sz="5" w:color="B8D9D5"/>
              <w:left w:val="single" w:sz="5" w:color="B8D9D5"/>
              <w:bottom w:val="single" w:sz="5" w:color="B8D9D5"/>
              <w:right w:val="single" w:sz="5" w:color="B8D9D5"/>
            </w:tcBorders>
          </w:tcPr>
          <w:p>
            <w:pPr>
              <w:pStyle w:val="Answer"/>
              <w:spacing w:after="0"/>
            </w:pPr>
            <w:r>
              <w:t>Nee. Voor roken is p = 0,071. Het geschatte verschil tussen rokers en niet-rokers is dus niet statistisch significant.</w:t>
            </w:r>
          </w:p>
        </w:tc>
      </w:tr>
    </w:tbl>
    <w:p>
      <w:pPr>
        <w:spacing w:after="0"/>
      </w:pPr>
    </w:p>
    <w:p>
      <w:r>
        <w:br w:type="page"/>
      </w:r>
    </w:p>
    <w:p>
      <w:pPr>
        <w:pStyle w:val="Heading1"/>
      </w:pPr>
      <w:r>
        <w:t>Diagnostiek van het additieve model</w:t>
      </w:r>
    </w:p>
    <w:p>
      <w:pPr>
        <w:spacing w:after="40"/>
        <w:jc w:val="center"/>
      </w:pPr>
      <w:r>
        <w:drawing>
          <wp:inline xmlns:a="http://schemas.openxmlformats.org/drawingml/2006/main" xmlns:pic="http://schemas.openxmlformats.org/drawingml/2006/picture">
            <wp:extent cx="4860000" cy="3037500"/>
            <wp:docPr id="2" name="Picture 2"/>
            <wp:cNvGraphicFramePr>
              <a:graphicFrameLocks noChangeAspect="1"/>
            </wp:cNvGraphicFramePr>
            <a:graphic>
              <a:graphicData uri="http://schemas.openxmlformats.org/drawingml/2006/picture">
                <pic:pic>
                  <pic:nvPicPr>
                    <pic:cNvPr id="0" name="additive_residual_histogram.png"/>
                    <pic:cNvPicPr/>
                  </pic:nvPicPr>
                  <pic:blipFill>
                    <a:blip r:embed="rId12"/>
                    <a:stretch>
                      <a:fillRect/>
                    </a:stretch>
                  </pic:blipFill>
                  <pic:spPr>
                    <a:xfrm>
                      <a:off x="0" y="0"/>
                      <a:ext cx="4860000" cy="3037500"/>
                    </a:xfrm>
                    <a:prstGeom prst="rect"/>
                  </pic:spPr>
                </pic:pic>
              </a:graphicData>
            </a:graphic>
          </wp:inline>
        </w:drawing>
      </w:r>
    </w:p>
    <w:p>
      <w:pPr>
        <w:pStyle w:val="Smallnote"/>
        <w:spacing w:after="120"/>
        <w:jc w:val="center"/>
      </w:pPr>
      <w:r>
        <w:t>Histogram van resid_additief met normale dichtheidskromme.</w:t>
      </w:r>
    </w:p>
    <w:p>
      <w:pPr>
        <w:keepNext/>
        <w:spacing w:before="100" w:after="80"/>
      </w:pPr>
      <w:r>
        <w:rPr>
          <w:b/>
          <w:color w:val="138A8A"/>
        </w:rPr>
        <w:t xml:space="preserve">1f. </w:t>
      </w:r>
      <w:r>
        <w:t>Lijken de residuen van het additieve model bij benadering normaal verdeeld? Licht je antwoord toe aan de hand van het histogram.</w:t>
      </w:r>
    </w:p>
    <w:tbl>
      <w:tblPr>
        <w:tblW w:type="auto" w:w="0"/>
        <w:jc w:val="center"/>
        <w:tblLook w:firstColumn="1" w:firstRow="1" w:lastColumn="0" w:lastRow="0" w:noHBand="0" w:noVBand="1" w:val="04A0"/>
      </w:tblPr>
      <w:tblGrid>
        <w:gridCol w:w="9866"/>
      </w:tblGrid>
      <w:tr>
        <w:trPr>
          <w:cantSplit w:val="true"/>
        </w:trPr>
        <w:tc>
          <w:tcPr>
            <w:tcW w:type="dxa" w:w="9866"/>
            <w:shd w:fill="E8F4F3"/>
            <w:tcBorders>
              <w:top w:val="single" w:sz="5" w:color="B8D9D5"/>
              <w:left w:val="single" w:sz="5" w:color="B8D9D5"/>
              <w:bottom w:val="single" w:sz="5" w:color="B8D9D5"/>
              <w:right w:val="single" w:sz="5" w:color="B8D9D5"/>
            </w:tcBorders>
          </w:tcPr>
          <w:p>
            <w:pPr>
              <w:pStyle w:val="Answer"/>
              <w:spacing w:after="0"/>
            </w:pPr>
            <w:r>
              <w:t>Het histogram is enigszins rechtsscheef, maar vertoont geen ernstige afwijking van een normale verdeling. Normaliteit lijkt hier een redelijke benadering.</w:t>
            </w:r>
          </w:p>
        </w:tc>
      </w:tr>
    </w:tbl>
    <w:p>
      <w:pPr>
        <w:spacing w:after="0"/>
      </w:pPr>
    </w:p>
    <w:p>
      <w:pPr>
        <w:spacing w:after="40"/>
        <w:jc w:val="center"/>
      </w:pPr>
      <w:r>
        <w:drawing>
          <wp:inline xmlns:a="http://schemas.openxmlformats.org/drawingml/2006/main" xmlns:pic="http://schemas.openxmlformats.org/drawingml/2006/picture">
            <wp:extent cx="5220000" cy="3262500"/>
            <wp:docPr id="3" name="Picture 3"/>
            <wp:cNvGraphicFramePr>
              <a:graphicFrameLocks noChangeAspect="1"/>
            </wp:cNvGraphicFramePr>
            <a:graphic>
              <a:graphicData uri="http://schemas.openxmlformats.org/drawingml/2006/picture">
                <pic:pic>
                  <pic:nvPicPr>
                    <pic:cNvPr id="0" name="additive_residual_plot.png"/>
                    <pic:cNvPicPr/>
                  </pic:nvPicPr>
                  <pic:blipFill>
                    <a:blip r:embed="rId13"/>
                    <a:stretch>
                      <a:fillRect/>
                    </a:stretch>
                  </pic:blipFill>
                  <pic:spPr>
                    <a:xfrm>
                      <a:off x="0" y="0"/>
                      <a:ext cx="5220000" cy="3262500"/>
                    </a:xfrm>
                    <a:prstGeom prst="rect"/>
                  </pic:spPr>
                </pic:pic>
              </a:graphicData>
            </a:graphic>
          </wp:inline>
        </w:drawing>
      </w:r>
    </w:p>
    <w:p>
      <w:pPr>
        <w:pStyle w:val="Smallnote"/>
        <w:spacing w:after="120"/>
        <w:jc w:val="center"/>
      </w:pPr>
      <w:r>
        <w:t>resid_additief tegen pred_additief; beide assen zijn uitgedrukt in mm.</w:t>
      </w:r>
    </w:p>
    <w:p>
      <w:pPr>
        <w:keepNext/>
        <w:spacing w:before="100" w:after="80"/>
      </w:pPr>
      <w:r>
        <w:rPr>
          <w:b/>
          <w:color w:val="138A8A"/>
        </w:rPr>
        <w:t xml:space="preserve">1g. </w:t>
      </w:r>
      <w:r>
        <w:t>Lijkt de variantie van de errors constant (homoscedasticiteit)? Licht je antwoord toe aan de hand van de residuplot.</w:t>
      </w:r>
    </w:p>
    <w:tbl>
      <w:tblPr>
        <w:tblW w:type="auto" w:w="0"/>
        <w:jc w:val="center"/>
        <w:tblLook w:firstColumn="1" w:firstRow="1" w:lastColumn="0" w:lastRow="0" w:noHBand="0" w:noVBand="1" w:val="04A0"/>
      </w:tblPr>
      <w:tblGrid>
        <w:gridCol w:w="9866"/>
      </w:tblGrid>
      <w:tr>
        <w:trPr>
          <w:cantSplit w:val="true"/>
        </w:trPr>
        <w:tc>
          <w:tcPr>
            <w:tcW w:type="dxa" w:w="9866"/>
            <w:shd w:fill="E8F4F3"/>
            <w:tcBorders>
              <w:top w:val="single" w:sz="5" w:color="B8D9D5"/>
              <w:left w:val="single" w:sz="5" w:color="B8D9D5"/>
              <w:bottom w:val="single" w:sz="5" w:color="B8D9D5"/>
              <w:right w:val="single" w:sz="5" w:color="B8D9D5"/>
            </w:tcBorders>
          </w:tcPr>
          <w:p>
            <w:pPr>
              <w:pStyle w:val="Answer"/>
              <w:spacing w:after="0"/>
            </w:pPr>
            <w:r>
              <w:t>Ja. De verticale spreiding van de residuen blijft over het bereik van de voorspelde waarden ongeveer gelijk. Er is geen duidelijke trechtervorm.</w:t>
            </w:r>
          </w:p>
        </w:tc>
      </w:tr>
    </w:tbl>
    <w:p>
      <w:pPr>
        <w:spacing w:after="0"/>
      </w:pPr>
    </w:p>
    <w:p>
      <w:r>
        <w:br w:type="page"/>
      </w:r>
    </w:p>
    <w:p>
      <w:pPr>
        <w:pStyle w:val="Heading1"/>
      </w:pPr>
      <w:r>
        <w:t>2. Interactie tussen leeftijd en roken</w:t>
      </w:r>
    </w:p>
    <w:p>
      <w:pPr>
        <w:pStyle w:val="Heading2"/>
      </w:pPr>
      <w:r>
        <w:t>Model Summary</w:t>
      </w:r>
    </w:p>
    <w:tbl>
      <w:tblPr>
        <w:tblStyle w:val="TableGrid"/>
        <w:tblW w:type="auto" w:w="0"/>
        <w:jc w:val="center"/>
        <w:tblLook w:firstColumn="1" w:firstRow="1" w:lastColumn="0" w:lastRow="0" w:noHBand="0" w:noVBand="1" w:val="04A0"/>
      </w:tblPr>
      <w:tblGrid>
        <w:gridCol w:w="1409"/>
        <w:gridCol w:w="1409"/>
        <w:gridCol w:w="1409"/>
        <w:gridCol w:w="1409"/>
        <w:gridCol w:w="1409"/>
        <w:gridCol w:w="1409"/>
        <w:gridCol w:w="1409"/>
      </w:tblGrid>
      <w:tr>
        <w:trPr>
          <w:tblHeader w:val="true"/>
        </w:trPr>
        <w:tc>
          <w:tcPr>
            <w:tcW w:type="dxa" w:w="1409"/>
            <w:shd w:fill="15364A"/>
          </w:tcPr>
          <w:p>
            <w:pPr>
              <w:spacing w:after="0"/>
              <w:jc w:val="center"/>
            </w:pPr>
            <w:r>
              <w:rPr>
                <w:b/>
                <w:color w:val="FFFFFF"/>
                <w:sz w:val="18"/>
              </w:rPr>
              <w:t>Model</w:t>
            </w:r>
          </w:p>
        </w:tc>
        <w:tc>
          <w:tcPr>
            <w:tcW w:type="dxa" w:w="1409"/>
            <w:shd w:fill="15364A"/>
          </w:tcPr>
          <w:p>
            <w:pPr>
              <w:spacing w:after="0"/>
              <w:jc w:val="center"/>
            </w:pPr>
            <w:r>
              <w:rPr>
                <w:b/>
                <w:color w:val="FFFFFF"/>
                <w:sz w:val="18"/>
              </w:rPr>
              <w:t>R Square</w:t>
            </w:r>
          </w:p>
        </w:tc>
        <w:tc>
          <w:tcPr>
            <w:tcW w:type="dxa" w:w="1409"/>
            <w:shd w:fill="15364A"/>
          </w:tcPr>
          <w:p>
            <w:pPr>
              <w:spacing w:after="0"/>
              <w:jc w:val="center"/>
            </w:pPr>
            <w:r>
              <w:rPr>
                <w:b/>
                <w:color w:val="FFFFFF"/>
                <w:sz w:val="18"/>
              </w:rPr>
              <w:t>R Square Change</w:t>
            </w:r>
          </w:p>
        </w:tc>
        <w:tc>
          <w:tcPr>
            <w:tcW w:type="dxa" w:w="1409"/>
            <w:shd w:fill="15364A"/>
          </w:tcPr>
          <w:p>
            <w:pPr>
              <w:spacing w:after="0"/>
              <w:jc w:val="center"/>
            </w:pPr>
            <w:r>
              <w:rPr>
                <w:b/>
                <w:color w:val="FFFFFF"/>
                <w:sz w:val="18"/>
              </w:rPr>
              <w:t>F Change</w:t>
            </w:r>
          </w:p>
        </w:tc>
        <w:tc>
          <w:tcPr>
            <w:tcW w:type="dxa" w:w="1409"/>
            <w:shd w:fill="15364A"/>
          </w:tcPr>
          <w:p>
            <w:pPr>
              <w:spacing w:after="0"/>
              <w:jc w:val="center"/>
            </w:pPr>
            <w:r>
              <w:rPr>
                <w:b/>
                <w:color w:val="FFFFFF"/>
                <w:sz w:val="18"/>
              </w:rPr>
              <w:t>df1</w:t>
            </w:r>
          </w:p>
        </w:tc>
        <w:tc>
          <w:tcPr>
            <w:tcW w:type="dxa" w:w="1409"/>
            <w:shd w:fill="15364A"/>
          </w:tcPr>
          <w:p>
            <w:pPr>
              <w:spacing w:after="0"/>
              <w:jc w:val="center"/>
            </w:pPr>
            <w:r>
              <w:rPr>
                <w:b/>
                <w:color w:val="FFFFFF"/>
                <w:sz w:val="18"/>
              </w:rPr>
              <w:t>df2</w:t>
            </w:r>
          </w:p>
        </w:tc>
        <w:tc>
          <w:tcPr>
            <w:tcW w:type="dxa" w:w="1409"/>
            <w:shd w:fill="15364A"/>
          </w:tcPr>
          <w:p>
            <w:pPr>
              <w:spacing w:after="0"/>
              <w:jc w:val="center"/>
            </w:pPr>
            <w:r>
              <w:rPr>
                <w:b/>
                <w:color w:val="FFFFFF"/>
                <w:sz w:val="18"/>
              </w:rPr>
              <w:t>p</w:t>
            </w:r>
          </w:p>
        </w:tc>
      </w:tr>
      <w:tr>
        <w:tc>
          <w:tcPr>
            <w:tcW w:type="dxa" w:w="1409"/>
          </w:tcPr>
          <w:p>
            <w:pPr>
              <w:spacing w:after="0"/>
              <w:jc w:val="center"/>
            </w:pPr>
            <w:r>
              <w:rPr>
                <w:sz w:val="18"/>
              </w:rPr>
              <w:t>1</w:t>
            </w:r>
          </w:p>
        </w:tc>
        <w:tc>
          <w:tcPr>
            <w:tcW w:type="dxa" w:w="1409"/>
          </w:tcPr>
          <w:p>
            <w:pPr>
              <w:spacing w:after="0"/>
              <w:jc w:val="center"/>
            </w:pPr>
            <w:r>
              <w:rPr>
                <w:sz w:val="18"/>
              </w:rPr>
              <w:t>0,167</w:t>
            </w:r>
          </w:p>
        </w:tc>
        <w:tc>
          <w:tcPr>
            <w:tcW w:type="dxa" w:w="1409"/>
          </w:tcPr>
          <w:p>
            <w:pPr>
              <w:spacing w:after="0"/>
              <w:jc w:val="center"/>
            </w:pPr>
            <w:r>
              <w:rPr>
                <w:sz w:val="18"/>
              </w:rPr>
            </w:r>
          </w:p>
        </w:tc>
        <w:tc>
          <w:tcPr>
            <w:tcW w:type="dxa" w:w="1409"/>
          </w:tcPr>
          <w:p>
            <w:pPr>
              <w:spacing w:after="0"/>
              <w:jc w:val="center"/>
            </w:pPr>
            <w:r>
              <w:rPr>
                <w:sz w:val="18"/>
              </w:rPr>
            </w:r>
          </w:p>
        </w:tc>
        <w:tc>
          <w:tcPr>
            <w:tcW w:type="dxa" w:w="1409"/>
          </w:tcPr>
          <w:p>
            <w:pPr>
              <w:spacing w:after="0"/>
              <w:jc w:val="center"/>
            </w:pPr>
            <w:r>
              <w:rPr>
                <w:sz w:val="18"/>
              </w:rPr>
            </w:r>
          </w:p>
        </w:tc>
        <w:tc>
          <w:tcPr>
            <w:tcW w:type="dxa" w:w="1409"/>
          </w:tcPr>
          <w:p>
            <w:pPr>
              <w:spacing w:after="0"/>
              <w:jc w:val="center"/>
            </w:pPr>
            <w:r>
              <w:rPr>
                <w:sz w:val="18"/>
              </w:rPr>
            </w:r>
          </w:p>
        </w:tc>
        <w:tc>
          <w:tcPr>
            <w:tcW w:type="dxa" w:w="1409"/>
          </w:tcPr>
          <w:p>
            <w:pPr>
              <w:spacing w:after="0"/>
              <w:jc w:val="center"/>
            </w:pPr>
            <w:r>
              <w:rPr>
                <w:sz w:val="18"/>
              </w:rPr>
            </w:r>
          </w:p>
        </w:tc>
      </w:tr>
      <w:tr>
        <w:tc>
          <w:tcPr>
            <w:tcW w:type="dxa" w:w="1409"/>
            <w:shd w:fill="F3F5F6"/>
          </w:tcPr>
          <w:p>
            <w:pPr>
              <w:spacing w:after="0"/>
              <w:jc w:val="center"/>
            </w:pPr>
            <w:r>
              <w:rPr>
                <w:sz w:val="18"/>
              </w:rPr>
              <w:t>2</w:t>
            </w:r>
          </w:p>
        </w:tc>
        <w:tc>
          <w:tcPr>
            <w:tcW w:type="dxa" w:w="1409"/>
            <w:shd w:fill="F3F5F6"/>
          </w:tcPr>
          <w:p>
            <w:pPr>
              <w:spacing w:after="0"/>
              <w:jc w:val="center"/>
            </w:pPr>
            <w:r>
              <w:rPr>
                <w:sz w:val="18"/>
              </w:rPr>
              <w:t>0,173</w:t>
            </w:r>
          </w:p>
        </w:tc>
        <w:tc>
          <w:tcPr>
            <w:tcW w:type="dxa" w:w="1409"/>
            <w:shd w:fill="F3F5F6"/>
          </w:tcPr>
          <w:p>
            <w:pPr>
              <w:spacing w:after="0"/>
              <w:jc w:val="center"/>
            </w:pPr>
            <w:r>
              <w:rPr>
                <w:sz w:val="18"/>
              </w:rPr>
              <w:t>0,006</w:t>
            </w:r>
          </w:p>
        </w:tc>
        <w:tc>
          <w:tcPr>
            <w:tcW w:type="dxa" w:w="1409"/>
            <w:shd w:fill="F3F5F6"/>
          </w:tcPr>
          <w:p>
            <w:pPr>
              <w:spacing w:after="0"/>
              <w:jc w:val="center"/>
            </w:pPr>
            <w:r>
              <w:rPr>
                <w:sz w:val="18"/>
              </w:rPr>
              <w:t>0,692</w:t>
            </w:r>
          </w:p>
        </w:tc>
        <w:tc>
          <w:tcPr>
            <w:tcW w:type="dxa" w:w="1409"/>
            <w:shd w:fill="F3F5F6"/>
          </w:tcPr>
          <w:p>
            <w:pPr>
              <w:spacing w:after="0"/>
              <w:jc w:val="center"/>
            </w:pPr>
            <w:r>
              <w:rPr>
                <w:sz w:val="18"/>
              </w:rPr>
              <w:t>1</w:t>
            </w:r>
          </w:p>
        </w:tc>
        <w:tc>
          <w:tcPr>
            <w:tcW w:type="dxa" w:w="1409"/>
            <w:shd w:fill="F3F5F6"/>
          </w:tcPr>
          <w:p>
            <w:pPr>
              <w:spacing w:after="0"/>
              <w:jc w:val="center"/>
            </w:pPr>
            <w:r>
              <w:rPr>
                <w:sz w:val="18"/>
              </w:rPr>
              <w:t>96</w:t>
            </w:r>
          </w:p>
        </w:tc>
        <w:tc>
          <w:tcPr>
            <w:tcW w:type="dxa" w:w="1409"/>
            <w:shd w:fill="F3F5F6"/>
          </w:tcPr>
          <w:p>
            <w:pPr>
              <w:spacing w:after="0"/>
              <w:jc w:val="center"/>
            </w:pPr>
            <w:r>
              <w:rPr>
                <w:sz w:val="18"/>
              </w:rPr>
              <w:t>0,408</w:t>
            </w:r>
          </w:p>
        </w:tc>
      </w:tr>
    </w:tbl>
    <w:p>
      <w:pPr>
        <w:spacing w:after="0"/>
      </w:pPr>
    </w:p>
    <w:p>
      <w:pPr>
        <w:pStyle w:val="Heading2"/>
      </w:pPr>
      <w:r>
        <w:t>Coefficients: model met interactie</w:t>
      </w:r>
    </w:p>
    <w:tbl>
      <w:tblPr>
        <w:tblStyle w:val="TableGrid"/>
        <w:tblW w:type="auto" w:w="0"/>
        <w:jc w:val="center"/>
        <w:tblLook w:firstColumn="1" w:firstRow="1" w:lastColumn="0" w:lastRow="0" w:noHBand="0" w:noVBand="1" w:val="04A0"/>
      </w:tblPr>
      <w:tblGrid>
        <w:gridCol w:w="1973"/>
        <w:gridCol w:w="1973"/>
        <w:gridCol w:w="1973"/>
        <w:gridCol w:w="1973"/>
        <w:gridCol w:w="1973"/>
      </w:tblGrid>
      <w:tr>
        <w:trPr>
          <w:tblHeader w:val="true"/>
        </w:trPr>
        <w:tc>
          <w:tcPr>
            <w:tcW w:type="dxa" w:w="1973"/>
            <w:shd w:fill="15364A"/>
          </w:tcPr>
          <w:p>
            <w:pPr>
              <w:spacing w:after="0"/>
              <w:jc w:val="center"/>
            </w:pPr>
            <w:r>
              <w:rPr>
                <w:b/>
                <w:color w:val="FFFFFF"/>
                <w:sz w:val="18"/>
              </w:rPr>
              <w:t>Term</w:t>
            </w:r>
          </w:p>
        </w:tc>
        <w:tc>
          <w:tcPr>
            <w:tcW w:type="dxa" w:w="1973"/>
            <w:shd w:fill="15364A"/>
          </w:tcPr>
          <w:p>
            <w:pPr>
              <w:spacing w:after="0"/>
              <w:jc w:val="center"/>
            </w:pPr>
            <w:r>
              <w:rPr>
                <w:b/>
                <w:color w:val="FFFFFF"/>
                <w:sz w:val="18"/>
              </w:rPr>
              <w:t>B</w:t>
            </w:r>
          </w:p>
        </w:tc>
        <w:tc>
          <w:tcPr>
            <w:tcW w:type="dxa" w:w="1973"/>
            <w:shd w:fill="15364A"/>
          </w:tcPr>
          <w:p>
            <w:pPr>
              <w:spacing w:after="0"/>
              <w:jc w:val="center"/>
            </w:pPr>
            <w:r>
              <w:rPr>
                <w:b/>
                <w:color w:val="FFFFFF"/>
                <w:sz w:val="18"/>
              </w:rPr>
              <w:t>Std. Error</w:t>
            </w:r>
          </w:p>
        </w:tc>
        <w:tc>
          <w:tcPr>
            <w:tcW w:type="dxa" w:w="1973"/>
            <w:shd w:fill="15364A"/>
          </w:tcPr>
          <w:p>
            <w:pPr>
              <w:spacing w:after="0"/>
              <w:jc w:val="center"/>
            </w:pPr>
            <w:r>
              <w:rPr>
                <w:b/>
                <w:color w:val="FFFFFF"/>
                <w:sz w:val="18"/>
              </w:rPr>
              <w:t>95%-BI</w:t>
            </w:r>
          </w:p>
        </w:tc>
        <w:tc>
          <w:tcPr>
            <w:tcW w:type="dxa" w:w="1973"/>
            <w:shd w:fill="15364A"/>
          </w:tcPr>
          <w:p>
            <w:pPr>
              <w:spacing w:after="0"/>
              <w:jc w:val="center"/>
            </w:pPr>
            <w:r>
              <w:rPr>
                <w:b/>
                <w:color w:val="FFFFFF"/>
                <w:sz w:val="18"/>
              </w:rPr>
              <w:t>p</w:t>
            </w:r>
          </w:p>
        </w:tc>
      </w:tr>
      <w:tr>
        <w:tc>
          <w:tcPr>
            <w:tcW w:type="dxa" w:w="1973"/>
          </w:tcPr>
          <w:p>
            <w:pPr>
              <w:spacing w:after="0"/>
              <w:jc w:val="center"/>
            </w:pPr>
            <w:r>
              <w:rPr>
                <w:sz w:val="18"/>
              </w:rPr>
              <w:t>Constant</w:t>
            </w:r>
          </w:p>
        </w:tc>
        <w:tc>
          <w:tcPr>
            <w:tcW w:type="dxa" w:w="1973"/>
          </w:tcPr>
          <w:p>
            <w:pPr>
              <w:spacing w:after="0"/>
              <w:jc w:val="center"/>
            </w:pPr>
            <w:r>
              <w:rPr>
                <w:sz w:val="18"/>
              </w:rPr>
              <w:t>3,778</w:t>
            </w:r>
          </w:p>
        </w:tc>
        <w:tc>
          <w:tcPr>
            <w:tcW w:type="dxa" w:w="1973"/>
          </w:tcPr>
          <w:p>
            <w:pPr>
              <w:spacing w:after="0"/>
              <w:jc w:val="center"/>
            </w:pPr>
            <w:r>
              <w:rPr>
                <w:sz w:val="18"/>
              </w:rPr>
              <w:t>0,264</w:t>
            </w:r>
          </w:p>
        </w:tc>
        <w:tc>
          <w:tcPr>
            <w:tcW w:type="dxa" w:w="1973"/>
          </w:tcPr>
          <w:p>
            <w:pPr>
              <w:spacing w:after="0"/>
              <w:jc w:val="center"/>
            </w:pPr>
            <w:r>
              <w:rPr>
                <w:sz w:val="18"/>
              </w:rPr>
              <w:t>3,261 tot 4,296</w:t>
            </w:r>
          </w:p>
        </w:tc>
        <w:tc>
          <w:tcPr>
            <w:tcW w:type="dxa" w:w="1973"/>
          </w:tcPr>
          <w:p>
            <w:pPr>
              <w:spacing w:after="0"/>
              <w:jc w:val="center"/>
            </w:pPr>
            <w:r>
              <w:rPr>
                <w:sz w:val="18"/>
              </w:rPr>
              <w:t>&lt; 0,001</w:t>
            </w:r>
          </w:p>
        </w:tc>
      </w:tr>
      <w:tr>
        <w:tc>
          <w:tcPr>
            <w:tcW w:type="dxa" w:w="1973"/>
            <w:shd w:fill="F3F5F6"/>
          </w:tcPr>
          <w:p>
            <w:pPr>
              <w:spacing w:after="0"/>
              <w:jc w:val="center"/>
            </w:pPr>
            <w:r>
              <w:rPr>
                <w:sz w:val="18"/>
              </w:rPr>
              <w:t>leeftijd</w:t>
            </w:r>
          </w:p>
        </w:tc>
        <w:tc>
          <w:tcPr>
            <w:tcW w:type="dxa" w:w="1973"/>
            <w:shd w:fill="F3F5F6"/>
          </w:tcPr>
          <w:p>
            <w:pPr>
              <w:spacing w:after="0"/>
              <w:jc w:val="center"/>
            </w:pPr>
            <w:r>
              <w:rPr>
                <w:sz w:val="18"/>
              </w:rPr>
              <w:t>0,021</w:t>
            </w:r>
          </w:p>
        </w:tc>
        <w:tc>
          <w:tcPr>
            <w:tcW w:type="dxa" w:w="1973"/>
            <w:shd w:fill="F3F5F6"/>
          </w:tcPr>
          <w:p>
            <w:pPr>
              <w:spacing w:after="0"/>
              <w:jc w:val="center"/>
            </w:pPr>
            <w:r>
              <w:rPr>
                <w:sz w:val="18"/>
              </w:rPr>
              <w:t>0,006</w:t>
            </w:r>
          </w:p>
        </w:tc>
        <w:tc>
          <w:tcPr>
            <w:tcW w:type="dxa" w:w="1973"/>
            <w:shd w:fill="F3F5F6"/>
          </w:tcPr>
          <w:p>
            <w:pPr>
              <w:spacing w:after="0"/>
              <w:jc w:val="center"/>
            </w:pPr>
            <w:r>
              <w:rPr>
                <w:sz w:val="18"/>
              </w:rPr>
              <w:t>0,008 tot 0,033</w:t>
            </w:r>
          </w:p>
        </w:tc>
        <w:tc>
          <w:tcPr>
            <w:tcW w:type="dxa" w:w="1973"/>
            <w:shd w:fill="F3F5F6"/>
          </w:tcPr>
          <w:p>
            <w:pPr>
              <w:spacing w:after="0"/>
              <w:jc w:val="center"/>
            </w:pPr>
            <w:r>
              <w:rPr>
                <w:sz w:val="18"/>
              </w:rPr>
              <w:t>0,002</w:t>
            </w:r>
          </w:p>
        </w:tc>
      </w:tr>
      <w:tr>
        <w:tc>
          <w:tcPr>
            <w:tcW w:type="dxa" w:w="1973"/>
          </w:tcPr>
          <w:p>
            <w:pPr>
              <w:spacing w:after="0"/>
              <w:jc w:val="center"/>
            </w:pPr>
            <w:r>
              <w:rPr>
                <w:sz w:val="18"/>
              </w:rPr>
              <w:t>roken</w:t>
            </w:r>
          </w:p>
        </w:tc>
        <w:tc>
          <w:tcPr>
            <w:tcW w:type="dxa" w:w="1973"/>
          </w:tcPr>
          <w:p>
            <w:pPr>
              <w:spacing w:after="0"/>
              <w:jc w:val="center"/>
            </w:pPr>
            <w:r>
              <w:rPr>
                <w:sz w:val="18"/>
              </w:rPr>
              <w:t>0,773</w:t>
            </w:r>
          </w:p>
        </w:tc>
        <w:tc>
          <w:tcPr>
            <w:tcW w:type="dxa" w:w="1973"/>
          </w:tcPr>
          <w:p>
            <w:pPr>
              <w:spacing w:after="0"/>
              <w:jc w:val="center"/>
            </w:pPr>
            <w:r>
              <w:rPr>
                <w:sz w:val="18"/>
              </w:rPr>
              <w:t>0,568</w:t>
            </w:r>
          </w:p>
        </w:tc>
        <w:tc>
          <w:tcPr>
            <w:tcW w:type="dxa" w:w="1973"/>
          </w:tcPr>
          <w:p>
            <w:pPr>
              <w:spacing w:after="0"/>
              <w:jc w:val="center"/>
            </w:pPr>
            <w:r>
              <w:rPr>
                <w:sz w:val="18"/>
              </w:rPr>
              <w:t>-0,340 tot 1,886</w:t>
            </w:r>
          </w:p>
        </w:tc>
        <w:tc>
          <w:tcPr>
            <w:tcW w:type="dxa" w:w="1973"/>
          </w:tcPr>
          <w:p>
            <w:pPr>
              <w:spacing w:after="0"/>
              <w:jc w:val="center"/>
            </w:pPr>
            <w:r>
              <w:rPr>
                <w:sz w:val="18"/>
              </w:rPr>
              <w:t>0,177</w:t>
            </w:r>
          </w:p>
        </w:tc>
      </w:tr>
      <w:tr>
        <w:tc>
          <w:tcPr>
            <w:tcW w:type="dxa" w:w="1973"/>
            <w:shd w:fill="F3F5F6"/>
          </w:tcPr>
          <w:p>
            <w:pPr>
              <w:spacing w:after="0"/>
              <w:jc w:val="center"/>
            </w:pPr>
            <w:r>
              <w:rPr>
                <w:sz w:val="18"/>
              </w:rPr>
              <w:t>rook_leeftijd</w:t>
            </w:r>
          </w:p>
        </w:tc>
        <w:tc>
          <w:tcPr>
            <w:tcW w:type="dxa" w:w="1973"/>
            <w:shd w:fill="F3F5F6"/>
          </w:tcPr>
          <w:p>
            <w:pPr>
              <w:spacing w:after="0"/>
              <w:jc w:val="center"/>
            </w:pPr>
            <w:r>
              <w:rPr>
                <w:sz w:val="18"/>
              </w:rPr>
              <w:t>-0,010</w:t>
            </w:r>
          </w:p>
        </w:tc>
        <w:tc>
          <w:tcPr>
            <w:tcW w:type="dxa" w:w="1973"/>
            <w:shd w:fill="F3F5F6"/>
          </w:tcPr>
          <w:p>
            <w:pPr>
              <w:spacing w:after="0"/>
              <w:jc w:val="center"/>
            </w:pPr>
            <w:r>
              <w:rPr>
                <w:sz w:val="18"/>
              </w:rPr>
              <w:t>0,012</w:t>
            </w:r>
          </w:p>
        </w:tc>
        <w:tc>
          <w:tcPr>
            <w:tcW w:type="dxa" w:w="1973"/>
            <w:shd w:fill="F3F5F6"/>
          </w:tcPr>
          <w:p>
            <w:pPr>
              <w:spacing w:after="0"/>
              <w:jc w:val="center"/>
            </w:pPr>
            <w:r>
              <w:rPr>
                <w:sz w:val="18"/>
              </w:rPr>
              <w:t>-0,033 tot 0,013</w:t>
            </w:r>
          </w:p>
        </w:tc>
        <w:tc>
          <w:tcPr>
            <w:tcW w:type="dxa" w:w="1973"/>
            <w:shd w:fill="F3F5F6"/>
          </w:tcPr>
          <w:p>
            <w:pPr>
              <w:spacing w:after="0"/>
              <w:jc w:val="center"/>
            </w:pPr>
            <w:r>
              <w:rPr>
                <w:sz w:val="18"/>
              </w:rPr>
              <w:t>0,408</w:t>
            </w:r>
          </w:p>
        </w:tc>
      </w:tr>
    </w:tbl>
    <w:p>
      <w:pPr>
        <w:spacing w:after="0"/>
      </w:pPr>
    </w:p>
    <w:p>
      <w:pPr>
        <w:keepNext/>
        <w:spacing w:before="100" w:after="80"/>
      </w:pPr>
      <w:r>
        <w:rPr>
          <w:b/>
          <w:color w:val="138A8A"/>
        </w:rPr>
        <w:t xml:space="preserve">2a. </w:t>
      </w:r>
      <w:r>
        <w:t>Wat is het percentage verklaarde variantie voor het additieve model en voor het model met de interactieterm? Hoe groot is de toename?</w:t>
      </w:r>
    </w:p>
    <w:tbl>
      <w:tblPr>
        <w:tblW w:type="auto" w:w="0"/>
        <w:jc w:val="center"/>
        <w:tblLook w:firstColumn="1" w:firstRow="1" w:lastColumn="0" w:lastRow="0" w:noHBand="0" w:noVBand="1" w:val="04A0"/>
      </w:tblPr>
      <w:tblGrid>
        <w:gridCol w:w="9866"/>
      </w:tblGrid>
      <w:tr>
        <w:trPr>
          <w:cantSplit w:val="true"/>
        </w:trPr>
        <w:tc>
          <w:tcPr>
            <w:tcW w:type="dxa" w:w="9866"/>
            <w:shd w:fill="E8F4F3"/>
            <w:tcBorders>
              <w:top w:val="single" w:sz="5" w:color="B8D9D5"/>
              <w:left w:val="single" w:sz="5" w:color="B8D9D5"/>
              <w:bottom w:val="single" w:sz="5" w:color="B8D9D5"/>
              <w:right w:val="single" w:sz="5" w:color="B8D9D5"/>
            </w:tcBorders>
          </w:tcPr>
          <w:p>
            <w:pPr>
              <w:pStyle w:val="Answer"/>
              <w:spacing w:after="0"/>
            </w:pPr>
            <w:r>
              <w:t>Het additieve model heeft R Square = 0,167 (16,7%). Het model met interactie heeft R Square = 0,173 (17,3%). De toename is 0,6 procentpunt.</w:t>
            </w:r>
          </w:p>
        </w:tc>
      </w:tr>
    </w:tbl>
    <w:p>
      <w:pPr>
        <w:spacing w:after="0"/>
      </w:pPr>
    </w:p>
    <w:p>
      <w:pPr>
        <w:keepNext/>
        <w:spacing w:before="100" w:after="80"/>
      </w:pPr>
      <w:r>
        <w:rPr>
          <w:b/>
          <w:color w:val="138A8A"/>
        </w:rPr>
        <w:t xml:space="preserve">2b. </w:t>
      </w:r>
      <w:r>
        <w:t>Is de toename in verklaarde variantie door toevoeging van de interactieterm statistisch significant? Onderbouw je antwoord met de p-waarde van F Change.</w:t>
      </w:r>
    </w:p>
    <w:tbl>
      <w:tblPr>
        <w:tblW w:type="auto" w:w="0"/>
        <w:jc w:val="center"/>
        <w:tblLook w:firstColumn="1" w:firstRow="1" w:lastColumn="0" w:lastRow="0" w:noHBand="0" w:noVBand="1" w:val="04A0"/>
      </w:tblPr>
      <w:tblGrid>
        <w:gridCol w:w="9866"/>
      </w:tblGrid>
      <w:tr>
        <w:trPr>
          <w:cantSplit w:val="true"/>
        </w:trPr>
        <w:tc>
          <w:tcPr>
            <w:tcW w:type="dxa" w:w="9866"/>
            <w:shd w:fill="E8F4F3"/>
            <w:tcBorders>
              <w:top w:val="single" w:sz="5" w:color="B8D9D5"/>
              <w:left w:val="single" w:sz="5" w:color="B8D9D5"/>
              <w:bottom w:val="single" w:sz="5" w:color="B8D9D5"/>
              <w:right w:val="single" w:sz="5" w:color="B8D9D5"/>
            </w:tcBorders>
          </w:tcPr>
          <w:p>
            <w:pPr>
              <w:pStyle w:val="Answer"/>
              <w:spacing w:after="0"/>
            </w:pPr>
            <w:r>
              <w:t>Nee. F Change = 0,692 met p = 0,408. De interactieterm verbetert het model niet statistisch significant.</w:t>
            </w:r>
          </w:p>
        </w:tc>
      </w:tr>
    </w:tbl>
    <w:p>
      <w:pPr>
        <w:spacing w:after="0"/>
      </w:pPr>
    </w:p>
    <w:p>
      <w:pPr>
        <w:keepNext/>
        <w:spacing w:before="100" w:after="80"/>
      </w:pPr>
      <w:r>
        <w:rPr>
          <w:b/>
          <w:color w:val="138A8A"/>
        </w:rPr>
        <w:t xml:space="preserve">2c. </w:t>
      </w:r>
      <w:r>
        <w:t>Verschilt de regressiecoëfficiënt van rook_leeftijd statistisch significant van nul? Hoe verhoudt deze conclusie zich tot die bij vraag 2b?</w:t>
      </w:r>
    </w:p>
    <w:tbl>
      <w:tblPr>
        <w:tblW w:type="auto" w:w="0"/>
        <w:jc w:val="center"/>
        <w:tblLook w:firstColumn="1" w:firstRow="1" w:lastColumn="0" w:lastRow="0" w:noHBand="0" w:noVBand="1" w:val="04A0"/>
      </w:tblPr>
      <w:tblGrid>
        <w:gridCol w:w="9866"/>
      </w:tblGrid>
      <w:tr>
        <w:trPr>
          <w:cantSplit w:val="true"/>
        </w:trPr>
        <w:tc>
          <w:tcPr>
            <w:tcW w:type="dxa" w:w="9866"/>
            <w:shd w:fill="E8F4F3"/>
            <w:tcBorders>
              <w:top w:val="single" w:sz="5" w:color="B8D9D5"/>
              <w:left w:val="single" w:sz="5" w:color="B8D9D5"/>
              <w:bottom w:val="single" w:sz="5" w:color="B8D9D5"/>
              <w:right w:val="single" w:sz="5" w:color="B8D9D5"/>
            </w:tcBorders>
          </w:tcPr>
          <w:p>
            <w:pPr>
              <w:pStyle w:val="Answer"/>
              <w:spacing w:after="0"/>
            </w:pPr>
            <w:r>
              <w:t>Nee. Voor rook_leeftijd is B = -0,010 en p = 0,408. Dit is dezelfde p-waarde als bij F Change, omdat het uitgebreidere model precies een extra term bevat. Beide toetsen leiden daarom tot dezelfde conclusie.</w:t>
            </w:r>
          </w:p>
        </w:tc>
      </w:tr>
    </w:tbl>
    <w:p>
      <w:pPr>
        <w:spacing w:after="0"/>
      </w:pPr>
    </w:p>
    <w:p>
      <w:r>
        <w:br w:type="page"/>
      </w:r>
    </w:p>
    <w:p>
      <w:pPr>
        <w:pStyle w:val="Heading1"/>
      </w:pPr>
      <w:r>
        <w:t>3. Logistische regressie: behandelsucces</w:t>
      </w:r>
    </w:p>
    <w:p>
      <w:pPr>
        <w:pStyle w:val="Heading2"/>
      </w:pPr>
      <w:r>
        <w:t>Kruistabel: behandelsucces naar protocol</w:t>
      </w:r>
    </w:p>
    <w:tbl>
      <w:tblPr>
        <w:tblStyle w:val="TableGrid"/>
        <w:tblW w:type="auto" w:w="0"/>
        <w:jc w:val="center"/>
        <w:tblLook w:firstColumn="1" w:firstRow="1" w:lastColumn="0" w:lastRow="0" w:noHBand="0" w:noVBand="1" w:val="04A0"/>
      </w:tblPr>
      <w:tblGrid>
        <w:gridCol w:w="2466"/>
        <w:gridCol w:w="2466"/>
        <w:gridCol w:w="2466"/>
        <w:gridCol w:w="2466"/>
      </w:tblGrid>
      <w:tr>
        <w:trPr>
          <w:tblHeader w:val="true"/>
        </w:trPr>
        <w:tc>
          <w:tcPr>
            <w:tcW w:type="dxa" w:w="2466"/>
            <w:shd w:fill="15364A"/>
          </w:tcPr>
          <w:p>
            <w:pPr>
              <w:spacing w:after="0"/>
              <w:jc w:val="center"/>
            </w:pPr>
            <w:r>
              <w:rPr>
                <w:b/>
                <w:color w:val="FFFFFF"/>
                <w:sz w:val="18"/>
              </w:rPr>
              <w:t>Protocol</w:t>
            </w:r>
          </w:p>
        </w:tc>
        <w:tc>
          <w:tcPr>
            <w:tcW w:type="dxa" w:w="2466"/>
            <w:shd w:fill="15364A"/>
          </w:tcPr>
          <w:p>
            <w:pPr>
              <w:spacing w:after="0"/>
              <w:jc w:val="center"/>
            </w:pPr>
            <w:r>
              <w:rPr>
                <w:b/>
                <w:color w:val="FFFFFF"/>
                <w:sz w:val="18"/>
              </w:rPr>
              <w:t>Niet succesvol</w:t>
            </w:r>
          </w:p>
        </w:tc>
        <w:tc>
          <w:tcPr>
            <w:tcW w:type="dxa" w:w="2466"/>
            <w:shd w:fill="15364A"/>
          </w:tcPr>
          <w:p>
            <w:pPr>
              <w:spacing w:after="0"/>
              <w:jc w:val="center"/>
            </w:pPr>
            <w:r>
              <w:rPr>
                <w:b/>
                <w:color w:val="FFFFFF"/>
                <w:sz w:val="18"/>
              </w:rPr>
              <w:t>Succesvol</w:t>
            </w:r>
          </w:p>
        </w:tc>
        <w:tc>
          <w:tcPr>
            <w:tcW w:type="dxa" w:w="2466"/>
            <w:shd w:fill="15364A"/>
          </w:tcPr>
          <w:p>
            <w:pPr>
              <w:spacing w:after="0"/>
              <w:jc w:val="center"/>
            </w:pPr>
            <w:r>
              <w:rPr>
                <w:b/>
                <w:color w:val="FFFFFF"/>
                <w:sz w:val="18"/>
              </w:rPr>
              <w:t>% succesvol</w:t>
            </w:r>
          </w:p>
        </w:tc>
      </w:tr>
      <w:tr>
        <w:tc>
          <w:tcPr>
            <w:tcW w:type="dxa" w:w="2466"/>
          </w:tcPr>
          <w:p>
            <w:pPr>
              <w:spacing w:after="0"/>
              <w:jc w:val="center"/>
            </w:pPr>
            <w:r>
              <w:rPr>
                <w:sz w:val="18"/>
              </w:rPr>
              <w:t>Standaard</w:t>
            </w:r>
          </w:p>
        </w:tc>
        <w:tc>
          <w:tcPr>
            <w:tcW w:type="dxa" w:w="2466"/>
          </w:tcPr>
          <w:p>
            <w:pPr>
              <w:spacing w:after="0"/>
              <w:jc w:val="center"/>
            </w:pPr>
            <w:r>
              <w:rPr>
                <w:sz w:val="18"/>
              </w:rPr>
              <w:t>54</w:t>
            </w:r>
          </w:p>
        </w:tc>
        <w:tc>
          <w:tcPr>
            <w:tcW w:type="dxa" w:w="2466"/>
          </w:tcPr>
          <w:p>
            <w:pPr>
              <w:spacing w:after="0"/>
              <w:jc w:val="center"/>
            </w:pPr>
            <w:r>
              <w:rPr>
                <w:sz w:val="18"/>
              </w:rPr>
              <w:t>87</w:t>
            </w:r>
          </w:p>
        </w:tc>
        <w:tc>
          <w:tcPr>
            <w:tcW w:type="dxa" w:w="2466"/>
          </w:tcPr>
          <w:p>
            <w:pPr>
              <w:spacing w:after="0"/>
              <w:jc w:val="center"/>
            </w:pPr>
            <w:r>
              <w:rPr>
                <w:sz w:val="18"/>
              </w:rPr>
              <w:t>61,7%</w:t>
            </w:r>
          </w:p>
        </w:tc>
      </w:tr>
      <w:tr>
        <w:tc>
          <w:tcPr>
            <w:tcW w:type="dxa" w:w="2466"/>
            <w:shd w:fill="F3F5F6"/>
          </w:tcPr>
          <w:p>
            <w:pPr>
              <w:spacing w:after="0"/>
              <w:jc w:val="center"/>
            </w:pPr>
            <w:r>
              <w:rPr>
                <w:sz w:val="18"/>
              </w:rPr>
              <w:t>Uitgebreid</w:t>
            </w:r>
          </w:p>
        </w:tc>
        <w:tc>
          <w:tcPr>
            <w:tcW w:type="dxa" w:w="2466"/>
            <w:shd w:fill="F3F5F6"/>
          </w:tcPr>
          <w:p>
            <w:pPr>
              <w:spacing w:after="0"/>
              <w:jc w:val="center"/>
            </w:pPr>
            <w:r>
              <w:rPr>
                <w:sz w:val="18"/>
              </w:rPr>
              <w:t>32</w:t>
            </w:r>
          </w:p>
        </w:tc>
        <w:tc>
          <w:tcPr>
            <w:tcW w:type="dxa" w:w="2466"/>
            <w:shd w:fill="F3F5F6"/>
          </w:tcPr>
          <w:p>
            <w:pPr>
              <w:spacing w:after="0"/>
              <w:jc w:val="center"/>
            </w:pPr>
            <w:r>
              <w:rPr>
                <w:sz w:val="18"/>
              </w:rPr>
              <w:t>107</w:t>
            </w:r>
          </w:p>
        </w:tc>
        <w:tc>
          <w:tcPr>
            <w:tcW w:type="dxa" w:w="2466"/>
            <w:shd w:fill="F3F5F6"/>
          </w:tcPr>
          <w:p>
            <w:pPr>
              <w:spacing w:after="0"/>
              <w:jc w:val="center"/>
            </w:pPr>
            <w:r>
              <w:rPr>
                <w:sz w:val="18"/>
              </w:rPr>
              <w:t>77,0%</w:t>
            </w:r>
          </w:p>
        </w:tc>
      </w:tr>
    </w:tbl>
    <w:p>
      <w:pPr>
        <w:spacing w:after="0"/>
      </w:pPr>
    </w:p>
    <w:p>
      <w:pPr>
        <w:pStyle w:val="Heading2"/>
      </w:pPr>
      <w:r>
        <w:t>Variables in the Equation</w:t>
      </w:r>
    </w:p>
    <w:tbl>
      <w:tblPr>
        <w:tblStyle w:val="TableGrid"/>
        <w:tblW w:type="auto" w:w="0"/>
        <w:jc w:val="center"/>
        <w:tblLook w:firstColumn="1" w:firstRow="1" w:lastColumn="0" w:lastRow="0" w:noHBand="0" w:noVBand="1" w:val="04A0"/>
      </w:tblPr>
      <w:tblGrid>
        <w:gridCol w:w="1644"/>
        <w:gridCol w:w="1644"/>
        <w:gridCol w:w="1644"/>
        <w:gridCol w:w="1644"/>
        <w:gridCol w:w="1644"/>
        <w:gridCol w:w="1644"/>
      </w:tblGrid>
      <w:tr>
        <w:trPr>
          <w:tblHeader w:val="true"/>
        </w:trPr>
        <w:tc>
          <w:tcPr>
            <w:tcW w:type="dxa" w:w="1644"/>
            <w:shd w:fill="15364A"/>
          </w:tcPr>
          <w:p>
            <w:pPr>
              <w:spacing w:after="0"/>
              <w:jc w:val="center"/>
            </w:pPr>
            <w:r>
              <w:rPr>
                <w:b/>
                <w:color w:val="FFFFFF"/>
                <w:sz w:val="18"/>
              </w:rPr>
              <w:t>Term</w:t>
            </w:r>
          </w:p>
        </w:tc>
        <w:tc>
          <w:tcPr>
            <w:tcW w:type="dxa" w:w="1644"/>
            <w:shd w:fill="15364A"/>
          </w:tcPr>
          <w:p>
            <w:pPr>
              <w:spacing w:after="0"/>
              <w:jc w:val="center"/>
            </w:pPr>
            <w:r>
              <w:rPr>
                <w:b/>
                <w:color w:val="FFFFFF"/>
                <w:sz w:val="18"/>
              </w:rPr>
              <w:t>B</w:t>
            </w:r>
          </w:p>
        </w:tc>
        <w:tc>
          <w:tcPr>
            <w:tcW w:type="dxa" w:w="1644"/>
            <w:shd w:fill="15364A"/>
          </w:tcPr>
          <w:p>
            <w:pPr>
              <w:spacing w:after="0"/>
              <w:jc w:val="center"/>
            </w:pPr>
            <w:r>
              <w:rPr>
                <w:b/>
                <w:color w:val="FFFFFF"/>
                <w:sz w:val="18"/>
              </w:rPr>
              <w:t>Std. Error</w:t>
            </w:r>
          </w:p>
        </w:tc>
        <w:tc>
          <w:tcPr>
            <w:tcW w:type="dxa" w:w="1644"/>
            <w:shd w:fill="15364A"/>
          </w:tcPr>
          <w:p>
            <w:pPr>
              <w:spacing w:after="0"/>
              <w:jc w:val="center"/>
            </w:pPr>
            <w:r>
              <w:rPr>
                <w:b/>
                <w:color w:val="FFFFFF"/>
                <w:sz w:val="18"/>
              </w:rPr>
              <w:t>p</w:t>
            </w:r>
          </w:p>
        </w:tc>
        <w:tc>
          <w:tcPr>
            <w:tcW w:type="dxa" w:w="1644"/>
            <w:shd w:fill="15364A"/>
          </w:tcPr>
          <w:p>
            <w:pPr>
              <w:spacing w:after="0"/>
              <w:jc w:val="center"/>
            </w:pPr>
            <w:r>
              <w:rPr>
                <w:b/>
                <w:color w:val="FFFFFF"/>
                <w:sz w:val="18"/>
              </w:rPr>
              <w:t>Exp(B)</w:t>
            </w:r>
          </w:p>
        </w:tc>
        <w:tc>
          <w:tcPr>
            <w:tcW w:type="dxa" w:w="1644"/>
            <w:shd w:fill="15364A"/>
          </w:tcPr>
          <w:p>
            <w:pPr>
              <w:spacing w:after="0"/>
              <w:jc w:val="center"/>
            </w:pPr>
            <w:r>
              <w:rPr>
                <w:b/>
                <w:color w:val="FFFFFF"/>
                <w:sz w:val="18"/>
              </w:rPr>
              <w:t>95%-BI Exp(B)</w:t>
            </w:r>
          </w:p>
        </w:tc>
      </w:tr>
      <w:tr>
        <w:tc>
          <w:tcPr>
            <w:tcW w:type="dxa" w:w="1644"/>
          </w:tcPr>
          <w:p>
            <w:pPr>
              <w:spacing w:after="0"/>
              <w:jc w:val="center"/>
            </w:pPr>
            <w:r>
              <w:rPr>
                <w:sz w:val="18"/>
              </w:rPr>
              <w:t>Constant</w:t>
            </w:r>
          </w:p>
        </w:tc>
        <w:tc>
          <w:tcPr>
            <w:tcW w:type="dxa" w:w="1644"/>
          </w:tcPr>
          <w:p>
            <w:pPr>
              <w:spacing w:after="0"/>
              <w:jc w:val="center"/>
            </w:pPr>
            <w:r>
              <w:rPr>
                <w:sz w:val="18"/>
              </w:rPr>
              <w:t>0,477</w:t>
            </w:r>
          </w:p>
        </w:tc>
        <w:tc>
          <w:tcPr>
            <w:tcW w:type="dxa" w:w="1644"/>
          </w:tcPr>
          <w:p>
            <w:pPr>
              <w:spacing w:after="0"/>
              <w:jc w:val="center"/>
            </w:pPr>
            <w:r>
              <w:rPr>
                <w:sz w:val="18"/>
              </w:rPr>
              <w:t>0,173</w:t>
            </w:r>
          </w:p>
        </w:tc>
        <w:tc>
          <w:tcPr>
            <w:tcW w:type="dxa" w:w="1644"/>
          </w:tcPr>
          <w:p>
            <w:pPr>
              <w:spacing w:after="0"/>
              <w:jc w:val="center"/>
            </w:pPr>
            <w:r>
              <w:rPr>
                <w:sz w:val="18"/>
              </w:rPr>
              <w:t>0,006</w:t>
            </w:r>
          </w:p>
        </w:tc>
        <w:tc>
          <w:tcPr>
            <w:tcW w:type="dxa" w:w="1644"/>
          </w:tcPr>
          <w:p>
            <w:pPr>
              <w:spacing w:after="0"/>
              <w:jc w:val="center"/>
            </w:pPr>
            <w:r>
              <w:rPr>
                <w:sz w:val="18"/>
              </w:rPr>
              <w:t>1,611</w:t>
            </w:r>
          </w:p>
        </w:tc>
        <w:tc>
          <w:tcPr>
            <w:tcW w:type="dxa" w:w="1644"/>
          </w:tcPr>
          <w:p>
            <w:pPr>
              <w:spacing w:after="0"/>
              <w:jc w:val="center"/>
            </w:pPr>
            <w:r>
              <w:rPr>
                <w:sz w:val="18"/>
              </w:rPr>
              <w:t>1,147 tot 2,263</w:t>
            </w:r>
          </w:p>
        </w:tc>
      </w:tr>
      <w:tr>
        <w:tc>
          <w:tcPr>
            <w:tcW w:type="dxa" w:w="1644"/>
            <w:shd w:fill="F3F5F6"/>
          </w:tcPr>
          <w:p>
            <w:pPr>
              <w:spacing w:after="0"/>
              <w:jc w:val="center"/>
            </w:pPr>
            <w:r>
              <w:rPr>
                <w:sz w:val="18"/>
              </w:rPr>
              <w:t>protocol</w:t>
            </w:r>
          </w:p>
        </w:tc>
        <w:tc>
          <w:tcPr>
            <w:tcW w:type="dxa" w:w="1644"/>
            <w:shd w:fill="F3F5F6"/>
          </w:tcPr>
          <w:p>
            <w:pPr>
              <w:spacing w:after="0"/>
              <w:jc w:val="center"/>
            </w:pPr>
            <w:r>
              <w:rPr>
                <w:sz w:val="18"/>
              </w:rPr>
              <w:t>0,730</w:t>
            </w:r>
          </w:p>
        </w:tc>
        <w:tc>
          <w:tcPr>
            <w:tcW w:type="dxa" w:w="1644"/>
            <w:shd w:fill="F3F5F6"/>
          </w:tcPr>
          <w:p>
            <w:pPr>
              <w:spacing w:after="0"/>
              <w:jc w:val="center"/>
            </w:pPr>
            <w:r>
              <w:rPr>
                <w:sz w:val="18"/>
              </w:rPr>
              <w:t>0,266</w:t>
            </w:r>
          </w:p>
        </w:tc>
        <w:tc>
          <w:tcPr>
            <w:tcW w:type="dxa" w:w="1644"/>
            <w:shd w:fill="F3F5F6"/>
          </w:tcPr>
          <w:p>
            <w:pPr>
              <w:spacing w:after="0"/>
              <w:jc w:val="center"/>
            </w:pPr>
            <w:r>
              <w:rPr>
                <w:sz w:val="18"/>
              </w:rPr>
              <w:t>0,006</w:t>
            </w:r>
          </w:p>
        </w:tc>
        <w:tc>
          <w:tcPr>
            <w:tcW w:type="dxa" w:w="1644"/>
            <w:shd w:fill="F3F5F6"/>
          </w:tcPr>
          <w:p>
            <w:pPr>
              <w:spacing w:after="0"/>
              <w:jc w:val="center"/>
            </w:pPr>
            <w:r>
              <w:rPr>
                <w:sz w:val="18"/>
              </w:rPr>
              <w:t>2,075</w:t>
            </w:r>
          </w:p>
        </w:tc>
        <w:tc>
          <w:tcPr>
            <w:tcW w:type="dxa" w:w="1644"/>
            <w:shd w:fill="F3F5F6"/>
          </w:tcPr>
          <w:p>
            <w:pPr>
              <w:spacing w:after="0"/>
              <w:jc w:val="center"/>
            </w:pPr>
            <w:r>
              <w:rPr>
                <w:sz w:val="18"/>
              </w:rPr>
              <w:t>1,233 tot 3,494</w:t>
            </w:r>
          </w:p>
        </w:tc>
      </w:tr>
    </w:tbl>
    <w:p>
      <w:pPr>
        <w:spacing w:after="0"/>
      </w:pPr>
    </w:p>
    <w:p>
      <w:pPr>
        <w:keepNext/>
        <w:spacing w:before="100" w:after="80"/>
      </w:pPr>
      <w:r>
        <w:rPr>
          <w:b/>
          <w:color w:val="138A8A"/>
        </w:rPr>
        <w:t xml:space="preserve">3a. </w:t>
      </w:r>
      <w:r>
        <w:t>Welk percentage behandelingen is succesvol bij het standaardprotocol en welk percentage bij het uitgebreide protocol? Hoe groot is het verschil in procentpunten?</w:t>
      </w:r>
    </w:p>
    <w:tbl>
      <w:tblPr>
        <w:tblW w:type="auto" w:w="0"/>
        <w:jc w:val="center"/>
        <w:tblLook w:firstColumn="1" w:firstRow="1" w:lastColumn="0" w:lastRow="0" w:noHBand="0" w:noVBand="1" w:val="04A0"/>
      </w:tblPr>
      <w:tblGrid>
        <w:gridCol w:w="9866"/>
      </w:tblGrid>
      <w:tr>
        <w:trPr>
          <w:cantSplit w:val="true"/>
        </w:trPr>
        <w:tc>
          <w:tcPr>
            <w:tcW w:type="dxa" w:w="9866"/>
            <w:shd w:fill="E8F4F3"/>
            <w:tcBorders>
              <w:top w:val="single" w:sz="5" w:color="B8D9D5"/>
              <w:left w:val="single" w:sz="5" w:color="B8D9D5"/>
              <w:bottom w:val="single" w:sz="5" w:color="B8D9D5"/>
              <w:right w:val="single" w:sz="5" w:color="B8D9D5"/>
            </w:tcBorders>
          </w:tcPr>
          <w:p>
            <w:pPr>
              <w:pStyle w:val="Answer"/>
              <w:spacing w:after="0"/>
            </w:pPr>
            <w:r>
              <w:t>Bij het standaardprotocol is 61,7% van de behandelingen succesvol en bij het uitgebreide protocol 77,0%. Het verschil is 15,3 procentpunt.</w:t>
            </w:r>
          </w:p>
        </w:tc>
      </w:tr>
    </w:tbl>
    <w:p>
      <w:pPr>
        <w:spacing w:after="0"/>
      </w:pPr>
    </w:p>
    <w:p>
      <w:pPr>
        <w:keepNext/>
        <w:spacing w:before="100" w:after="80"/>
      </w:pPr>
      <w:r>
        <w:rPr>
          <w:b/>
          <w:color w:val="138A8A"/>
        </w:rPr>
        <w:t xml:space="preserve">3b. </w:t>
      </w:r>
      <w:r>
        <w:t>Is het verband tussen protocol en behandelsucces statistisch significant? Onderbouw je antwoord met de p-waarde.</w:t>
      </w:r>
    </w:p>
    <w:tbl>
      <w:tblPr>
        <w:tblW w:type="auto" w:w="0"/>
        <w:jc w:val="center"/>
        <w:tblLook w:firstColumn="1" w:firstRow="1" w:lastColumn="0" w:lastRow="0" w:noHBand="0" w:noVBand="1" w:val="04A0"/>
      </w:tblPr>
      <w:tblGrid>
        <w:gridCol w:w="9866"/>
      </w:tblGrid>
      <w:tr>
        <w:trPr>
          <w:cantSplit w:val="true"/>
        </w:trPr>
        <w:tc>
          <w:tcPr>
            <w:tcW w:type="dxa" w:w="9866"/>
            <w:shd w:fill="E8F4F3"/>
            <w:tcBorders>
              <w:top w:val="single" w:sz="5" w:color="B8D9D5"/>
              <w:left w:val="single" w:sz="5" w:color="B8D9D5"/>
              <w:bottom w:val="single" w:sz="5" w:color="B8D9D5"/>
              <w:right w:val="single" w:sz="5" w:color="B8D9D5"/>
            </w:tcBorders>
          </w:tcPr>
          <w:p>
            <w:pPr>
              <w:pStyle w:val="Answer"/>
              <w:spacing w:after="0"/>
            </w:pPr>
            <w:r>
              <w:t>Ja. Voor protocol is p = 0,006. Deze p-waarde is kleiner dan 0,05, dus protocol hangt statistisch significant samen met behandelsucces.</w:t>
            </w:r>
          </w:p>
        </w:tc>
      </w:tr>
    </w:tbl>
    <w:p>
      <w:pPr>
        <w:spacing w:after="0"/>
      </w:pPr>
    </w:p>
    <w:p>
      <w:pPr>
        <w:keepNext/>
        <w:spacing w:before="100" w:after="80"/>
      </w:pPr>
      <w:r>
        <w:rPr>
          <w:b/>
          <w:color w:val="138A8A"/>
        </w:rPr>
        <w:t xml:space="preserve">3c. </w:t>
      </w:r>
      <w:r>
        <w:t>Wat betekent Exp(B) voor protocol in de context van dit onderzoek?</w:t>
      </w:r>
    </w:p>
    <w:tbl>
      <w:tblPr>
        <w:tblW w:type="auto" w:w="0"/>
        <w:jc w:val="center"/>
        <w:tblLook w:firstColumn="1" w:firstRow="1" w:lastColumn="0" w:lastRow="0" w:noHBand="0" w:noVBand="1" w:val="04A0"/>
      </w:tblPr>
      <w:tblGrid>
        <w:gridCol w:w="9866"/>
      </w:tblGrid>
      <w:tr>
        <w:trPr>
          <w:cantSplit w:val="true"/>
        </w:trPr>
        <w:tc>
          <w:tcPr>
            <w:tcW w:type="dxa" w:w="9866"/>
            <w:shd w:fill="E8F4F3"/>
            <w:tcBorders>
              <w:top w:val="single" w:sz="5" w:color="B8D9D5"/>
              <w:left w:val="single" w:sz="5" w:color="B8D9D5"/>
              <w:bottom w:val="single" w:sz="5" w:color="B8D9D5"/>
              <w:right w:val="single" w:sz="5" w:color="B8D9D5"/>
            </w:tcBorders>
          </w:tcPr>
          <w:p>
            <w:pPr>
              <w:pStyle w:val="Answer"/>
              <w:spacing w:after="0"/>
            </w:pPr>
            <w:r>
              <w:t>Exp(B) = 2,075. De geschatte odds op behandelsucces zijn bij het uitgebreide protocol dus 2,08 keer zo groot als bij het standaardprotocol.</w:t>
            </w:r>
          </w:p>
        </w:tc>
      </w:tr>
    </w:tbl>
    <w:p>
      <w:pPr>
        <w:spacing w:after="0"/>
      </w:pPr>
    </w:p>
    <w:p>
      <w:pPr>
        <w:keepNext/>
        <w:spacing w:before="100" w:after="80"/>
      </w:pPr>
      <w:r>
        <w:rPr>
          <w:b/>
          <w:color w:val="138A8A"/>
        </w:rPr>
        <w:t xml:space="preserve">3d. </w:t>
      </w:r>
      <w:r>
        <w:t>Bereken met de geschatte regressievergelijking de kans op behandelsucces bij het standaardprotocol.</w:t>
      </w:r>
    </w:p>
    <w:tbl>
      <w:tblPr>
        <w:tblW w:type="auto" w:w="0"/>
        <w:jc w:val="center"/>
        <w:tblLook w:firstColumn="1" w:firstRow="1" w:lastColumn="0" w:lastRow="0" w:noHBand="0" w:noVBand="1" w:val="04A0"/>
      </w:tblPr>
      <w:tblGrid>
        <w:gridCol w:w="9866"/>
      </w:tblGrid>
      <w:tr>
        <w:trPr>
          <w:cantSplit w:val="true"/>
        </w:trPr>
        <w:tc>
          <w:tcPr>
            <w:tcW w:type="dxa" w:w="9866"/>
            <w:shd w:fill="E8F4F3"/>
            <w:tcBorders>
              <w:top w:val="single" w:sz="5" w:color="B8D9D5"/>
              <w:left w:val="single" w:sz="5" w:color="B8D9D5"/>
              <w:bottom w:val="single" w:sz="5" w:color="B8D9D5"/>
              <w:right w:val="single" w:sz="5" w:color="B8D9D5"/>
            </w:tcBorders>
          </w:tcPr>
          <w:p>
            <w:pPr>
              <w:pStyle w:val="Answer"/>
              <w:spacing w:after="0"/>
            </w:pPr>
            <w:r>
              <w:t>Voor protocol = 0 zijn de geschatte log-odds 0,477. De kans is exp(0,477) / (1 + exp(0,477)) = 0,617 oftewel 61,7%.</w:t>
            </w:r>
          </w:p>
        </w:tc>
      </w:tr>
    </w:tbl>
    <w:p>
      <w:pPr>
        <w:spacing w:after="0"/>
      </w:pPr>
    </w:p>
    <w:p>
      <w:pPr>
        <w:keepNext/>
        <w:spacing w:before="100" w:after="80"/>
      </w:pPr>
      <w:r>
        <w:rPr>
          <w:b/>
          <w:color w:val="138A8A"/>
        </w:rPr>
        <w:t xml:space="preserve">3e. </w:t>
      </w:r>
      <w:r>
        <w:t>Bereken met de geschatte regressievergelijking de kans op behandelsucces bij het uitgebreide protocol.</w:t>
      </w:r>
    </w:p>
    <w:tbl>
      <w:tblPr>
        <w:tblW w:type="auto" w:w="0"/>
        <w:jc w:val="center"/>
        <w:tblLook w:firstColumn="1" w:firstRow="1" w:lastColumn="0" w:lastRow="0" w:noHBand="0" w:noVBand="1" w:val="04A0"/>
      </w:tblPr>
      <w:tblGrid>
        <w:gridCol w:w="9866"/>
      </w:tblGrid>
      <w:tr>
        <w:trPr>
          <w:cantSplit w:val="true"/>
        </w:trPr>
        <w:tc>
          <w:tcPr>
            <w:tcW w:type="dxa" w:w="9866"/>
            <w:shd w:fill="E8F4F3"/>
            <w:tcBorders>
              <w:top w:val="single" w:sz="5" w:color="B8D9D5"/>
              <w:left w:val="single" w:sz="5" w:color="B8D9D5"/>
              <w:bottom w:val="single" w:sz="5" w:color="B8D9D5"/>
              <w:right w:val="single" w:sz="5" w:color="B8D9D5"/>
            </w:tcBorders>
          </w:tcPr>
          <w:p>
            <w:pPr>
              <w:pStyle w:val="Answer"/>
              <w:spacing w:after="0"/>
            </w:pPr>
            <w:r>
              <w:t>Voor protocol = 1 zijn de geschatte log-odds 0,477 + 0,730 = 1,207. De bijbehorende kans is 0,770 oftewel 77,0%.</w:t>
            </w:r>
          </w:p>
        </w:tc>
      </w:tr>
    </w:tbl>
    <w:p>
      <w:pPr>
        <w:spacing w:after="0"/>
      </w:pPr>
    </w:p>
    <w:p>
      <w:pPr>
        <w:keepNext/>
        <w:spacing w:before="100" w:after="80"/>
      </w:pPr>
      <w:r>
        <w:rPr>
          <w:b/>
          <w:color w:val="138A8A"/>
        </w:rPr>
        <w:t xml:space="preserve">3f. </w:t>
      </w:r>
      <w:r>
        <w:t>Vergelijk de berekende kansen bij 3d en 3e met de percentages uit de kruistabel. Wat valt je op?</w:t>
      </w:r>
    </w:p>
    <w:tbl>
      <w:tblPr>
        <w:tblW w:type="auto" w:w="0"/>
        <w:jc w:val="center"/>
        <w:tblLook w:firstColumn="1" w:firstRow="1" w:lastColumn="0" w:lastRow="0" w:noHBand="0" w:noVBand="1" w:val="04A0"/>
      </w:tblPr>
      <w:tblGrid>
        <w:gridCol w:w="9866"/>
      </w:tblGrid>
      <w:tr>
        <w:trPr>
          <w:cantSplit w:val="true"/>
        </w:trPr>
        <w:tc>
          <w:tcPr>
            <w:tcW w:type="dxa" w:w="9866"/>
            <w:shd w:fill="E8F4F3"/>
            <w:tcBorders>
              <w:top w:val="single" w:sz="5" w:color="B8D9D5"/>
              <w:left w:val="single" w:sz="5" w:color="B8D9D5"/>
              <w:bottom w:val="single" w:sz="5" w:color="B8D9D5"/>
              <w:right w:val="single" w:sz="5" w:color="B8D9D5"/>
            </w:tcBorders>
          </w:tcPr>
          <w:p>
            <w:pPr>
              <w:pStyle w:val="Answer"/>
              <w:spacing w:after="0"/>
            </w:pPr>
            <w:r>
              <w:t>De berekende kansen zijn gelijk aan de succespercentages in de kruistabel. Met alleen een constante en een binaire voorspeller schat het logistische regressiemodel voor iedere protocolgroep precies het waargenomen groepspercentage.</w:t>
            </w:r>
          </w:p>
        </w:tc>
      </w:tr>
    </w:tbl>
    <w:p>
      <w:pPr>
        <w:spacing w:after="0"/>
      </w:pPr>
    </w:p>
    <w:sectPr w:rsidR="00FC693F" w:rsidRPr="0006063C" w:rsidSect="00034616">
      <w:headerReference w:type="default" r:id="rId9"/>
      <w:footerReference w:type="default" r:id="rId10"/>
      <w:pgSz w:w="11906" w:h="16838"/>
      <w:pgMar w:top="964" w:right="1020" w:bottom="907" w:left="1020" w:header="283"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jc w:val="right"/>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15364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15364A"/>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138A8A"/>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240"/>
      <w:contextualSpacing/>
    </w:pPr>
    <w:rPr>
      <w:rFonts w:asciiTheme="majorHAnsi" w:eastAsiaTheme="majorEastAsia" w:hAnsiTheme="majorHAnsi" w:cstheme="majorBidi" w:ascii="Aptos Display" w:hAnsi="Aptos Display"/>
      <w:b/>
      <w:color w:val="15364A"/>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nupath">
    <w:name w:val="Menu path"/>
    <w:basedOn w:val="Normal"/>
    <w:pPr>
      <w:spacing w:before="60" w:after="60"/>
      <w:ind w:left="255"/>
    </w:pPr>
    <w:rPr>
      <w:rFonts w:ascii="Aptos" w:hAnsi="Aptos"/>
      <w:b/>
      <w:color w:val="138A8A"/>
      <w:sz w:val="20"/>
    </w:rPr>
  </w:style>
  <w:style w:type="paragraph" w:customStyle="1" w:styleId="Answer">
    <w:name w:val="Answer"/>
    <w:basedOn w:val="Normal"/>
    <w:pPr>
      <w:spacing w:after="120"/>
    </w:pPr>
    <w:rPr>
      <w:rFonts w:ascii="Aptos" w:hAnsi="Aptos"/>
      <w:i/>
      <w:color w:val="15364A"/>
      <w:sz w:val="20"/>
    </w:rPr>
  </w:style>
  <w:style w:type="paragraph" w:customStyle="1" w:styleId="Smallnote">
    <w:name w:val="Small note"/>
    <w:basedOn w:val="Normal"/>
    <w:pPr>
      <w:spacing w:after="80"/>
    </w:pPr>
    <w:rPr>
      <w:rFonts w:ascii="Aptos" w:hAnsi="Aptos"/>
      <w:color w:val="63717A"/>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