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Statistiek voor tandheelkundig onderzoek</w:t>
      </w:r>
    </w:p>
    <w:p>
      <w:pPr>
        <w:spacing w:after="240"/>
      </w:pPr>
      <w:r>
        <w:rPr>
          <w:b/>
          <w:color w:val="138A8A"/>
          <w:sz w:val="24"/>
        </w:rPr>
        <w:t>Jaar 2 | Practicum 3 | 2026-2027</w:t>
      </w:r>
    </w:p>
    <w:p>
      <w:r>
        <w:t>In dit practicum voegen we een continue voorspeller toe aan het logistische regressiemodel uit practicum 2. Daarna analyseren we metingen die voor en na een behandeling bij dezelfde deelnemers zijn verzameld. We gebruiken endodontic_study.sav en pocketdiepte_paired.sav.</w:t>
      </w:r>
    </w:p>
    <w:tbl>
      <w:tblPr>
        <w:tblW w:type="auto" w:w="0"/>
        <w:jc w:val="center"/>
        <w:tblLook w:firstColumn="1" w:firstRow="1" w:lastColumn="0" w:lastRow="0" w:noHBand="0" w:noVBand="1" w:val="04A0"/>
      </w:tblPr>
      <w:tblGrid>
        <w:gridCol w:w="9866"/>
      </w:tblGrid>
      <w:tr>
        <w:tc>
          <w:tcPr>
            <w:tcW w:type="dxa" w:w="9866"/>
            <w:shd w:fill="E8F4F3"/>
            <w:tcBorders>
              <w:bottom w:val="single" w:sz="4" w:color="FFFFFF"/>
            </w:tcBorders>
            <w:vAlign w:val="center"/>
          </w:tcPr>
          <w:p>
            <w:pPr>
              <w:spacing w:after="0"/>
            </w:pPr>
            <w:r>
              <w:rPr>
                <w:b/>
                <w:color w:val="15364A"/>
              </w:rPr>
              <w:t>1. Logistische regressie: protocol en lesion_size_mm</w:t>
            </w:r>
          </w:p>
        </w:tc>
      </w:tr>
      <w:tr>
        <w:tc>
          <w:tcPr>
            <w:tcW w:type="dxa" w:w="9866"/>
            <w:shd w:fill="E8F4F3"/>
            <w:tcBorders>
              <w:bottom w:val="single" w:sz="4" w:color="FFFFFF"/>
            </w:tcBorders>
            <w:vAlign w:val="center"/>
          </w:tcPr>
          <w:p>
            <w:pPr>
              <w:spacing w:after="0"/>
            </w:pPr>
            <w:r>
              <w:rPr>
                <w:b/>
                <w:color w:val="15364A"/>
              </w:rPr>
              <w:t>2. Gepaarde continue data: paired t-test, sign test en Wilcoxon signed-rank test</w:t>
            </w:r>
          </w:p>
        </w:tc>
      </w:tr>
      <w:tr>
        <w:tc>
          <w:tcPr>
            <w:tcW w:type="dxa" w:w="9866"/>
            <w:shd w:fill="E8F4F3"/>
            <w:tcBorders>
              <w:bottom w:val="single" w:sz="4" w:color="FFFFFF"/>
            </w:tcBorders>
            <w:vAlign w:val="center"/>
          </w:tcPr>
          <w:p>
            <w:pPr>
              <w:spacing w:after="0"/>
            </w:pPr>
            <w:r>
              <w:rPr>
                <w:b/>
                <w:color w:val="15364A"/>
              </w:rPr>
              <w:t>3. Gepaarde binaire data: McNemar-toets</w:t>
            </w:r>
          </w:p>
        </w:tc>
      </w:tr>
    </w:tbl>
    <w:p>
      <w:pPr>
        <w:pStyle w:val="Heading1"/>
      </w:pPr>
      <w:r>
        <w:t>1. Logistische regressie met een continue voorspeller</w:t>
      </w:r>
    </w:p>
    <w:p>
      <w:r>
        <w:t>Open endodontic_study.sav. Iedere rij is een patiënt. success is gecodeerd als 0 = niet succesvol en 1 = succesvol. protocol is gecodeerd als 0 = standaardprotocol en 1 = uitgebreid protocol. lesion_size_mm is de grootte van de laesie in millimeters en is een continue voorspeller. Controleer de Value Labels in Variable View voordat je de analyse uitvoert.</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Model uit practicum 2: </w:t>
            </w:r>
            <w:r>
              <w:t>We starten met het model met alleen protocol. Daarna voegen we lesion_size_mm toe. Zo kun je een ruwe odds ratio vergelijken met een odds ratio die rekening houdt met laesiegrootte.</w:t>
            </w:r>
          </w:p>
        </w:tc>
      </w:tr>
    </w:tbl>
    <w:p>
      <w:pPr>
        <w:pStyle w:val="Menupath"/>
      </w:pPr>
      <w:r>
        <w:t>Analyze &gt; Regression &gt; Binary Logistic</w:t>
      </w:r>
    </w:p>
    <w:p>
      <w:r>
        <w:t>Klik op Reset. Plaats success bij Dependent en protocol bij Block 1 of 1. Klik op Options, vink CI for exp(B) aan met 95% en klik op Continue en daarna op OK. Gebruik de tabel Variables in the Equation.</w:t>
      </w:r>
    </w:p>
    <w:p>
      <w:pPr>
        <w:keepNext/>
        <w:spacing w:before="100" w:after="80"/>
      </w:pPr>
      <w:r>
        <w:rPr>
          <w:b/>
          <w:color w:val="138A8A"/>
        </w:rPr>
        <w:t xml:space="preserve">1a. </w:t>
      </w:r>
      <w:r>
        <w:t>Noteer uit het model met alleen protocol de waarde van Exp(B) voor protocol en de bijbehorende p-waarde. Interpreteer Exp(B) in termen van de odds op succes bij het uitgebreide protocol ten opzichte van het standaardprotocol.</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t>Voeg nu de continue voorspeller toe aan hetzelfde model. Voer de analyse opnieuw uit en gebruik opnieuw Reset, zodat oude instellingen niet blijven staan. Plaats zowel protocol als lesion_size_mm in Block 1 of 1.</w:t>
      </w:r>
    </w:p>
    <w:p>
      <w:pPr>
        <w:pStyle w:val="Menupath"/>
      </w:pPr>
      <w:r>
        <w:t>Analyze &gt; Regression &gt; Binary Logistic</w:t>
      </w:r>
    </w:p>
    <w:p>
      <w:r>
        <w:t>Gebruik success als Dependent en protocol en lesion_size_mm als predictors. Laat protocol als 0/1-variabele staan. Vraag opnieuw 95%-betrouwbaarheidsintervallen voor Exp(B) op via Options.</w:t>
      </w:r>
    </w:p>
    <w:p>
      <w:pPr>
        <w:keepNext/>
        <w:spacing w:before="100" w:after="80"/>
      </w:pPr>
      <w:r>
        <w:rPr>
          <w:b/>
          <w:color w:val="138A8A"/>
        </w:rPr>
        <w:t xml:space="preserve">1b. </w:t>
      </w:r>
      <w:r>
        <w:t>Is het verband tussen lesion_size_mm en behandelsucces statistisch significant bij een significantieniveau van 5%? Onderbouw je antwoord met de p-waarde.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1c. </w:t>
      </w:r>
      <w:r>
        <w:t>Vergelijk de odds ratio voor protocol uit het model met alleen protocol met die uit het model met lesion_size_mm. Waarom zijn de twee waarden niet gelijk? Interpreteer de odds ratio uit het uitgebreide model.</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1d. </w:t>
      </w:r>
      <w:r>
        <w:t>Bereken de odds ratio voor een toename van 5 mm in lesion_size_mm. Gebruik daarbij Exp(B) uit het uitgebreide model en leg uit wat de uitkomst betekent.</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Van log-odds naar kans: </w:t>
            </w:r>
            <w:r>
              <w:t>Bereken eerst logit(p) = B0 + B1 * protocol + B2 * lesion_size_mm. Zet de log-odds daarna om naar een kans met exp(logit(p)) / (1 + exp(logit(p))).</w:t>
            </w:r>
          </w:p>
        </w:tc>
      </w:tr>
    </w:tbl>
    <w:p>
      <w:pPr>
        <w:keepNext/>
        <w:spacing w:before="100" w:after="80"/>
      </w:pPr>
      <w:r>
        <w:rPr>
          <w:b/>
          <w:color w:val="138A8A"/>
        </w:rPr>
        <w:t xml:space="preserve">1e. </w:t>
      </w:r>
      <w:r>
        <w:t>Gebruik de geschatte vergelijking om de kans op succes te berekenen voor lesion_size_mm = 3 en 9 mm bij het standaardprotocol en het uitgebreide protocol. Vul een tabel in met vier kansen.</w:t>
      </w:r>
    </w:p>
    <w:tbl>
      <w:tblPr>
        <w:tblW w:type="auto" w:w="0"/>
        <w:jc w:val="center"/>
        <w:tblLayout w:type="autofit"/>
        <w:tblLook w:firstColumn="1" w:firstRow="1" w:lastColumn="0" w:lastRow="0" w:noHBand="0" w:noVBand="1" w:val="04A0"/>
      </w:tblPr>
      <w:tblGrid>
        <w:gridCol w:w="9866"/>
      </w:tblGrid>
      <w:tr>
        <w:trPr>
          <w:cantSplit w:val="true"/>
          <w:trHeight w:val="2358"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2. Gepaarde continue data</w:t>
      </w:r>
    </w:p>
    <w:p>
      <w:r>
        <w:t>Open pocketdiepte_paired.sav. De variabelen Pocketdiepte_voor en Pocketdiepte_na zijn bij dezelfde 96 deelnemers gemeten. De twee waarden per deelnemer vormen dus een paar. De variabelen BOP_voor en BOP_na beschrijven een tweede uitkomst bij dezelfde deelnemers.</w:t>
      </w:r>
    </w:p>
    <w:p>
      <w:pPr>
        <w:pStyle w:val="Heading2"/>
      </w:pPr>
      <w:r>
        <w:t>Paired-samples t-test</w:t>
      </w:r>
    </w:p>
    <w:p>
      <w:pPr>
        <w:pStyle w:val="Menupath"/>
      </w:pPr>
      <w:r>
        <w:t>Analyze &gt; Compare Means &gt; Paired-Samples T Test</w:t>
      </w:r>
    </w:p>
    <w:p>
      <w:r>
        <w:t>Selecteer Pocketdiepte_na als Variable 1 en Pocketdiepte_voor als Variable 2. Klik op OK en gebruik de tabel Paired Samples Test.</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Volgorde in dit SPSS-menu: </w:t>
            </w:r>
            <w:r>
              <w:t>In het menu Paired-Samples T Test berekent SPSS het verschil als Variable 1 - Variable 2. Met de hierboven gekozen volgorde is het verschil dus na - voor.</w:t>
            </w:r>
          </w:p>
        </w:tc>
      </w:tr>
    </w:tbl>
    <w:p>
      <w:pPr>
        <w:keepNext/>
        <w:spacing w:before="100" w:after="80"/>
      </w:pPr>
      <w:r>
        <w:rPr>
          <w:b/>
          <w:color w:val="138A8A"/>
        </w:rPr>
        <w:t xml:space="preserve">2a. </w:t>
      </w:r>
      <w:r>
        <w:t>Rapporteer voor de paired-samples t-test het gemiddelde verschil, de t-waarde, de vrijheidsgraden en de p-waarde. Wat is je conclusie bij 5%?</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Menupath"/>
      </w:pPr>
      <w:r>
        <w:t>Transform &gt; Compute Variable</w:t>
      </w:r>
    </w:p>
    <w:p>
      <w:r>
        <w:t>Vul bij Target Variable verschil_na_min_voor in en bij Numeric Expression Pocketdiepte_na - Pocketdiepte_voor. Klik op OK. Een negatieve waarde betekent dat de pocketdiepte na de behandeling kleiner is. Maak vervolgens een histogram van verschil_na_min_voor.</w:t>
      </w:r>
    </w:p>
    <w:p>
      <w:pPr>
        <w:pStyle w:val="Menupath"/>
      </w:pPr>
      <w:r>
        <w:t>Graphs &gt; Histogram</w:t>
      </w:r>
    </w:p>
    <w:p>
      <w:pPr>
        <w:keepNext/>
        <w:spacing w:before="100" w:after="80"/>
      </w:pPr>
      <w:r>
        <w:rPr>
          <w:b/>
          <w:color w:val="138A8A"/>
        </w:rPr>
        <w:t xml:space="preserve">2b. </w:t>
      </w:r>
      <w:r>
        <w:t>Is het, gezien het histogram van de verschillen, redelijk om de paired-samples t-test toe te passen? Licht je antwoord toe.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2"/>
      </w:pPr>
      <w:r>
        <w:t>Sign test en Wilcoxon signed-rank test</w:t>
      </w:r>
    </w:p>
    <w:p>
      <w:r>
        <w:t>Het histogram van de verschillen is links-scheef: de verdeling heeft een langere staart aan de negatieve kant. Daarom controleren we de conclusie van de paired-samples t-test met niet-parametrische toetsen. De sign test gebruikt alleen de richting van de verschillen; de Wilcoxon signed-rank test gebruikt daarnaast hun rangorde. Deze toetsen zijn minder afhankelijk van de aanname van een normale verdeling van de verschillen.</w:t>
      </w:r>
    </w:p>
    <w:p>
      <w:pPr>
        <w:pStyle w:val="Menupath"/>
      </w:pPr>
      <w:r>
        <w:t>Analyze &gt; Nonparametric Tests &gt; Legacy Dialogs &gt; 2 Related Samples</w:t>
      </w:r>
    </w:p>
    <w:p>
      <w:r>
        <w:t>Selecteer Pocketdiepte_voor als Variable 1 en Pocketdiepte_na als Variable 2. Vink bij Test Type zowel Sign als Wilcoxon aan en klik op OK. Gebruik in de output voor beide toetsen de tweezijdige p-waarde, aangeduid als Asymp. Sig. (2-tailed). Let op: in dit Legacy Dialogs-menu berekent SPSS het verschil als Variable 2 - Variable 1. Met deze volgorde is het verschil dus na - voor.</w:t>
      </w:r>
    </w:p>
    <w:p>
      <w:pPr>
        <w:keepNext/>
        <w:spacing w:before="100" w:after="80"/>
      </w:pPr>
      <w:r>
        <w:rPr>
          <w:b/>
          <w:color w:val="138A8A"/>
        </w:rPr>
        <w:t xml:space="preserve">2c. </w:t>
      </w:r>
      <w:r>
        <w:t>Voer de sign test uit. Hoeveel deelnemers hebben een negatieve, positieve of nulverandering? Rapporteer de p-waarde en je conclusie.</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2d. </w:t>
      </w:r>
      <w:r>
        <w:t>Voer de Wilcoxon signed-rank test uit. Rapporteer de relevante toetswaarde en de p-waarde. Wat concludeer je?</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br w:type="page"/>
      </w:r>
    </w:p>
    <w:p>
      <w:pPr>
        <w:pStyle w:val="Heading1"/>
      </w:pPr>
      <w:r>
        <w:t>3. McNemar-toets voor gepaarde binaire data</w:t>
      </w:r>
    </w:p>
    <w:p>
      <w:r>
        <w:t>Gebruik in pocketdiepte_paired.sav de variabelen BOP_voor en BOP_na. BOP betekent bloeding bij sonderen. De variabelen zijn binair gecodeerd: 0 = nee en 1 = ja. Omdat beide metingen bij dezelfde deelnemers zijn gedaan, zijn de waarnemingen gepaard.</w:t>
      </w:r>
    </w:p>
    <w:p>
      <w:pPr>
        <w:pStyle w:val="Menupath"/>
      </w:pPr>
      <w:r>
        <w:t>Analyze &gt; Descriptive Statistics &gt; Crosstabs</w:t>
      </w:r>
    </w:p>
    <w:p>
      <w:r>
        <w:t>Plaats BOP_voor en BOP_na in TargetList, in die volgorde. Klik op OK en gebruik de kruistabel om de aantallen met en zonder verandering te bepalen.</w:t>
      </w:r>
    </w:p>
    <w:p>
      <w:pPr>
        <w:keepNext/>
        <w:spacing w:before="100" w:after="80"/>
      </w:pPr>
      <w:r>
        <w:rPr>
          <w:b/>
          <w:color w:val="138A8A"/>
        </w:rPr>
        <w:t xml:space="preserve">3a. </w:t>
      </w:r>
      <w:r>
        <w:t>Bekijk de kruistabel van BOP_voor en BOP_na. Hoeveel deelnemers hebben geen verandering, verbetering (BOP ja naar nee) of verslechtering (BOP nee naar ja)?</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Menupath"/>
      </w:pPr>
      <w:r>
        <w:t>Analyze &gt; Nonparametric Tests &gt; Legacy Dialogs &gt; 2 Related Samples</w:t>
      </w:r>
    </w:p>
    <w:p>
      <w:r>
        <w:t>Selecteer BOP_voor als Variable 1 en BOP_na als Variable 2. Vink bij Test Type McNemar aan en klik op OK. Gebruik de tweezijdige p-waarde uit de output.</w:t>
      </w:r>
    </w:p>
    <w:p>
      <w:pPr>
        <w:keepNext/>
        <w:spacing w:before="100" w:after="80"/>
      </w:pPr>
      <w:r>
        <w:rPr>
          <w:b/>
          <w:color w:val="138A8A"/>
        </w:rPr>
        <w:t xml:space="preserve">3b. </w:t>
      </w:r>
      <w:r>
        <w:t>Voer de McNemar-toets uit. Rapporteer de tweezijdige p-waarde en formuleer een conclusie over de verandering in BOP na de behandeling.</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sectPr w:rsidR="00FC693F" w:rsidRPr="0006063C" w:rsidSect="00034616">
      <w:headerReference w:type="default" r:id="rId9"/>
      <w:footerReference w:type="default" r:id="rId10"/>
      <w:pgSz w:w="11906" w:h="16838"/>
      <w:pgMar w:top="964" w:right="1020" w:bottom="907" w:left="1020"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nupath">
    <w:name w:val="Menu path"/>
    <w:basedOn w:val="Normal"/>
    <w:pPr>
      <w:spacing w:before="60" w:after="60"/>
      <w:ind w:left="255"/>
    </w:pPr>
    <w:rPr>
      <w:rFonts w:ascii="Aptos" w:hAnsi="Aptos"/>
      <w:b/>
      <w:color w:val="138A8A"/>
      <w:sz w:val="20"/>
    </w:rPr>
  </w:style>
  <w:style w:type="paragraph" w:customStyle="1" w:styleId="Answer">
    <w:name w:val="Answer"/>
    <w:basedOn w:val="Normal"/>
    <w:pPr>
      <w:spacing w:after="120"/>
    </w:pPr>
    <w:rPr>
      <w:rFonts w:ascii="Aptos" w:hAnsi="Aptos"/>
      <w:i/>
      <w:color w:val="15364A"/>
      <w:sz w:val="20"/>
    </w:rPr>
  </w:style>
  <w:style w:type="paragraph" w:customStyle="1" w:styleId="Smallnote">
    <w:name w:val="Small note"/>
    <w:basedOn w:val="Normal"/>
    <w:pPr>
      <w:spacing w:after="80"/>
    </w:pPr>
    <w:rPr>
      <w:rFonts w:ascii="Aptos" w:hAnsi="Aptos"/>
      <w:color w:val="6371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