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Statistiek voor tandheelkundig onderzoek</w:t>
      </w:r>
    </w:p>
    <w:p>
      <w:pPr>
        <w:spacing w:after="240"/>
      </w:pPr>
      <w:r>
        <w:rPr>
          <w:b/>
          <w:color w:val="138A8A"/>
          <w:sz w:val="24"/>
        </w:rPr>
        <w:t>Jaar 2 | Practicum 1 | 2026-2027</w:t>
      </w:r>
      <w:r>
        <w:rPr>
          <w:color w:val="15364A"/>
        </w:rPr>
        <w:t xml:space="preserve">   ANTWOORDEN</w:t>
      </w:r>
    </w:p>
    <w:p>
      <w:r>
        <w:t>In dit practicum werk je met lineaire regressie met een continue voorspeller en met een categorische voorspeller. Je gebruikt het bestand pockets.sav, met gegevens over pocketdiepte, leeftijd en alcoholgebruik van 100 personen.</w:t>
      </w:r>
    </w:p>
    <w:tbl>
      <w:tblPr>
        <w:tblW w:type="auto" w:w="0"/>
        <w:jc w:val="center"/>
        <w:tblLayout w:type="autofit"/>
        <w:tblLook w:firstColumn="1" w:firstRow="1" w:lastColumn="0" w:lastRow="0" w:noHBand="0" w:noVBand="1" w:val="04A0"/>
      </w:tblPr>
      <w:tblGrid>
        <w:gridCol w:w="9866"/>
      </w:tblGrid>
      <w:tr>
        <w:tc>
          <w:tcPr>
            <w:tcW w:type="dxa" w:w="9866"/>
            <w:shd w:fill="E8F4F3"/>
            <w:tcBorders>
              <w:bottom w:val="single" w:sz="4" w:color="FFFFFF"/>
            </w:tcBorders>
            <w:vAlign w:val="center"/>
          </w:tcPr>
          <w:p>
            <w:pPr>
              <w:spacing w:after="0"/>
            </w:pPr>
            <w:r>
              <w:rPr>
                <w:b/>
                <w:color w:val="15364A"/>
              </w:rPr>
              <w:t>1. Lineaire regressie met een continue voorspeller: leeftijd</w:t>
            </w:r>
          </w:p>
        </w:tc>
      </w:tr>
      <w:tr>
        <w:tc>
          <w:tcPr>
            <w:tcW w:type="dxa" w:w="9866"/>
            <w:shd w:fill="E8F4F3"/>
            <w:tcBorders>
              <w:bottom w:val="single" w:sz="4" w:color="FFFFFF"/>
            </w:tcBorders>
            <w:vAlign w:val="center"/>
          </w:tcPr>
          <w:p>
            <w:pPr>
              <w:spacing w:after="0"/>
            </w:pPr>
            <w:r>
              <w:rPr>
                <w:b/>
                <w:color w:val="15364A"/>
              </w:rPr>
              <w:t>2. Lineaire regressie met een categorische voorspeller: alcoholgebruik</w:t>
            </w:r>
          </w:p>
        </w:tc>
      </w:tr>
    </w:tbl>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Onafhankelijkheid: </w:t>
            </w:r>
            <w:r>
              <w:t>In dit practicum nemen we aan dat iedere rij een andere persoon betreft en dat de waarnemingen onafhankelijk zijn. Deze aanname beoordeel je vanuit de onderzoeksopzet, niet met een residuplot.</w:t>
            </w:r>
          </w:p>
        </w:tc>
      </w:tr>
    </w:tbl>
    <w:p>
      <w:pPr>
        <w:pStyle w:val="Heading1"/>
      </w:pPr>
      <w:r>
        <w:t>1. Verkenning met een scatterplot</w:t>
      </w:r>
    </w:p>
    <w:p>
      <w:pPr>
        <w:spacing w:after="40"/>
        <w:jc w:val="center"/>
      </w:pPr>
      <w:r>
        <w:drawing>
          <wp:inline xmlns:a="http://schemas.openxmlformats.org/drawingml/2006/main" xmlns:pic="http://schemas.openxmlformats.org/drawingml/2006/picture">
            <wp:extent cx="5112000" cy="3195000"/>
            <wp:docPr id="1" name="Picture 1"/>
            <wp:cNvGraphicFramePr>
              <a:graphicFrameLocks noChangeAspect="1"/>
            </wp:cNvGraphicFramePr>
            <a:graphic>
              <a:graphicData uri="http://schemas.openxmlformats.org/drawingml/2006/picture">
                <pic:pic>
                  <pic:nvPicPr>
                    <pic:cNvPr id="0" name="age_scatterplot.png"/>
                    <pic:cNvPicPr/>
                  </pic:nvPicPr>
                  <pic:blipFill>
                    <a:blip r:embed="rId11"/>
                    <a:stretch>
                      <a:fillRect/>
                    </a:stretch>
                  </pic:blipFill>
                  <pic:spPr>
                    <a:xfrm>
                      <a:off x="0" y="0"/>
                      <a:ext cx="5112000" cy="3195000"/>
                    </a:xfrm>
                    <a:prstGeom prst="rect"/>
                  </pic:spPr>
                </pic:pic>
              </a:graphicData>
            </a:graphic>
          </wp:inline>
        </w:drawing>
      </w:r>
    </w:p>
    <w:p>
      <w:pPr>
        <w:pStyle w:val="Smallnote"/>
        <w:spacing w:after="120"/>
        <w:jc w:val="center"/>
      </w:pPr>
      <w:r>
        <w:t>Scatterplot van leeftijd en pocketdiepte.</w:t>
      </w:r>
    </w:p>
    <w:p>
      <w:pPr>
        <w:keepNext/>
        <w:spacing w:before="100" w:after="80"/>
      </w:pPr>
      <w:r>
        <w:rPr>
          <w:b/>
          <w:color w:val="138A8A"/>
        </w:rPr>
        <w:t xml:space="preserve">1a. </w:t>
      </w:r>
      <w:r>
        <w:t>Je ziet een scatterplot. Denk je dat er sprake is van een negatieve, een positieve of geen samenhang? Licht je antwoord toe.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Er is een positieve samenhang. De puntenwolk loopt globaal van linksonder naar rechtsboven.</w:t>
            </w:r>
          </w:p>
        </w:tc>
      </w:tr>
    </w:tbl>
    <w:p>
      <w:pPr>
        <w:spacing w:after="0"/>
      </w:pPr>
    </w:p>
    <w:p>
      <w:pPr>
        <w:keepNext/>
        <w:spacing w:before="100" w:after="80"/>
      </w:pPr>
      <w:r>
        <w:rPr>
          <w:b/>
          <w:color w:val="138A8A"/>
        </w:rPr>
        <w:t xml:space="preserve">1b. </w:t>
      </w:r>
      <w:r>
        <w:t>Als er een verband is, ziet dit verband er dan redelijk lineair uit?</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Ja. Op het oog is een rechte lijn een redelijke samenvatting van de gemiddelde trend in de puntenwolk.</w:t>
            </w:r>
          </w:p>
        </w:tc>
      </w:tr>
    </w:tbl>
    <w:p>
      <w:pPr>
        <w:spacing w:after="0"/>
      </w:pPr>
    </w:p>
    <w:p>
      <w:r>
        <w:br w:type="page"/>
      </w:r>
    </w:p>
    <w:p>
      <w:pPr>
        <w:pStyle w:val="Heading1"/>
      </w:pPr>
      <w:r>
        <w:t>2. Lineaire regressie met leeftijd</w:t>
      </w:r>
    </w:p>
    <w:p>
      <w:pPr>
        <w:pStyle w:val="Heading2"/>
      </w:pPr>
      <w:r>
        <w:t>Model Summary</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15364A"/>
          </w:tcPr>
          <w:p>
            <w:pPr>
              <w:spacing w:after="0"/>
              <w:jc w:val="center"/>
            </w:pPr>
            <w:r>
              <w:rPr>
                <w:b/>
                <w:color w:val="FFFFFF"/>
                <w:sz w:val="18"/>
              </w:rPr>
              <w:t>R</w:t>
            </w:r>
          </w:p>
        </w:tc>
        <w:tc>
          <w:tcPr>
            <w:tcW w:type="dxa" w:w="2466"/>
            <w:shd w:fill="15364A"/>
          </w:tcPr>
          <w:p>
            <w:pPr>
              <w:spacing w:after="0"/>
              <w:jc w:val="center"/>
            </w:pPr>
            <w:r>
              <w:rPr>
                <w:b/>
                <w:color w:val="FFFFFF"/>
                <w:sz w:val="18"/>
              </w:rPr>
              <w:t>R Square</w:t>
            </w:r>
          </w:p>
        </w:tc>
        <w:tc>
          <w:tcPr>
            <w:tcW w:type="dxa" w:w="2466"/>
            <w:shd w:fill="15364A"/>
          </w:tcPr>
          <w:p>
            <w:pPr>
              <w:spacing w:after="0"/>
              <w:jc w:val="center"/>
            </w:pPr>
            <w:r>
              <w:rPr>
                <w:b/>
                <w:color w:val="FFFFFF"/>
                <w:sz w:val="18"/>
              </w:rPr>
              <w:t>Adjusted R Square</w:t>
            </w:r>
          </w:p>
        </w:tc>
        <w:tc>
          <w:tcPr>
            <w:tcW w:type="dxa" w:w="2466"/>
            <w:shd w:fill="15364A"/>
          </w:tcPr>
          <w:p>
            <w:pPr>
              <w:spacing w:after="0"/>
              <w:jc w:val="center"/>
            </w:pPr>
            <w:r>
              <w:rPr>
                <w:b/>
                <w:color w:val="FFFFFF"/>
                <w:sz w:val="18"/>
              </w:rPr>
              <w:t>Std. Error</w:t>
            </w:r>
          </w:p>
        </w:tc>
      </w:tr>
      <w:tr>
        <w:tc>
          <w:tcPr>
            <w:tcW w:type="dxa" w:w="2466"/>
          </w:tcPr>
          <w:p>
            <w:pPr>
              <w:spacing w:after="0"/>
              <w:jc w:val="center"/>
            </w:pPr>
            <w:r>
              <w:rPr>
                <w:sz w:val="18"/>
              </w:rPr>
              <w:t>0,372</w:t>
            </w:r>
          </w:p>
        </w:tc>
        <w:tc>
          <w:tcPr>
            <w:tcW w:type="dxa" w:w="2466"/>
          </w:tcPr>
          <w:p>
            <w:pPr>
              <w:spacing w:after="0"/>
              <w:jc w:val="center"/>
            </w:pPr>
            <w:r>
              <w:rPr>
                <w:sz w:val="18"/>
              </w:rPr>
              <w:t>0,138</w:t>
            </w:r>
          </w:p>
        </w:tc>
        <w:tc>
          <w:tcPr>
            <w:tcW w:type="dxa" w:w="2466"/>
          </w:tcPr>
          <w:p>
            <w:pPr>
              <w:spacing w:after="0"/>
              <w:jc w:val="center"/>
            </w:pPr>
            <w:r>
              <w:rPr>
                <w:sz w:val="18"/>
              </w:rPr>
              <w:t>0,129</w:t>
            </w:r>
          </w:p>
        </w:tc>
        <w:tc>
          <w:tcPr>
            <w:tcW w:type="dxa" w:w="2466"/>
          </w:tcPr>
          <w:p>
            <w:pPr>
              <w:spacing w:after="0"/>
              <w:jc w:val="center"/>
            </w:pPr>
            <w:r>
              <w:rPr>
                <w:sz w:val="18"/>
              </w:rPr>
              <w:t>0,754</w:t>
            </w:r>
          </w:p>
        </w:tc>
      </w:tr>
    </w:tbl>
    <w:p>
      <w:pPr>
        <w:spacing w:after="0"/>
      </w:pPr>
    </w:p>
    <w:p>
      <w:pPr>
        <w:pStyle w:val="Heading2"/>
      </w:pPr>
      <w:r>
        <w:t>Coefficients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15364A"/>
          </w:tcPr>
          <w:p>
            <w:pPr>
              <w:spacing w:after="0"/>
              <w:jc w:val="center"/>
            </w:pPr>
            <w:r>
              <w:rPr>
                <w:b/>
                <w:color w:val="FFFFFF"/>
                <w:sz w:val="18"/>
              </w:rPr>
              <w:t>Term</w:t>
            </w:r>
          </w:p>
        </w:tc>
        <w:tc>
          <w:tcPr>
            <w:tcW w:type="dxa" w:w="1973"/>
            <w:shd w:fill="15364A"/>
          </w:tcPr>
          <w:p>
            <w:pPr>
              <w:spacing w:after="0"/>
              <w:jc w:val="center"/>
            </w:pPr>
            <w:r>
              <w:rPr>
                <w:b/>
                <w:color w:val="FFFFFF"/>
                <w:sz w:val="18"/>
              </w:rPr>
              <w:t>B</w:t>
            </w:r>
          </w:p>
        </w:tc>
        <w:tc>
          <w:tcPr>
            <w:tcW w:type="dxa" w:w="1973"/>
            <w:shd w:fill="15364A"/>
          </w:tcPr>
          <w:p>
            <w:pPr>
              <w:spacing w:after="0"/>
              <w:jc w:val="center"/>
            </w:pPr>
            <w:r>
              <w:rPr>
                <w:b/>
                <w:color w:val="FFFFFF"/>
                <w:sz w:val="18"/>
              </w:rPr>
              <w:t>Std. Error</w:t>
            </w:r>
          </w:p>
        </w:tc>
        <w:tc>
          <w:tcPr>
            <w:tcW w:type="dxa" w:w="1973"/>
            <w:shd w:fill="15364A"/>
          </w:tcPr>
          <w:p>
            <w:pPr>
              <w:spacing w:after="0"/>
              <w:jc w:val="center"/>
            </w:pPr>
            <w:r>
              <w:rPr>
                <w:b/>
                <w:color w:val="FFFFFF"/>
                <w:sz w:val="18"/>
              </w:rPr>
              <w:t>95%-BI</w:t>
            </w:r>
          </w:p>
        </w:tc>
        <w:tc>
          <w:tcPr>
            <w:tcW w:type="dxa" w:w="1973"/>
            <w:shd w:fill="15364A"/>
          </w:tcPr>
          <w:p>
            <w:pPr>
              <w:spacing w:after="0"/>
              <w:jc w:val="center"/>
            </w:pPr>
            <w:r>
              <w:rPr>
                <w:b/>
                <w:color w:val="FFFFFF"/>
                <w:sz w:val="18"/>
              </w:rPr>
              <w:t>p</w:t>
            </w:r>
          </w:p>
        </w:tc>
      </w:tr>
      <w:tr>
        <w:tc>
          <w:tcPr>
            <w:tcW w:type="dxa" w:w="1973"/>
          </w:tcPr>
          <w:p>
            <w:pPr>
              <w:spacing w:after="0"/>
              <w:jc w:val="center"/>
            </w:pPr>
            <w:r>
              <w:rPr>
                <w:sz w:val="18"/>
              </w:rPr>
              <w:t>Constant</w:t>
            </w:r>
          </w:p>
        </w:tc>
        <w:tc>
          <w:tcPr>
            <w:tcW w:type="dxa" w:w="1973"/>
          </w:tcPr>
          <w:p>
            <w:pPr>
              <w:spacing w:after="0"/>
              <w:jc w:val="center"/>
            </w:pPr>
            <w:r>
              <w:rPr>
                <w:sz w:val="18"/>
              </w:rPr>
              <w:t>3,859</w:t>
            </w:r>
          </w:p>
        </w:tc>
        <w:tc>
          <w:tcPr>
            <w:tcW w:type="dxa" w:w="1973"/>
          </w:tcPr>
          <w:p>
            <w:pPr>
              <w:spacing w:after="0"/>
              <w:jc w:val="center"/>
            </w:pPr>
            <w:r>
              <w:rPr>
                <w:sz w:val="18"/>
              </w:rPr>
              <w:t>0,229</w:t>
            </w:r>
          </w:p>
        </w:tc>
        <w:tc>
          <w:tcPr>
            <w:tcW w:type="dxa" w:w="1973"/>
          </w:tcPr>
          <w:p>
            <w:pPr>
              <w:spacing w:after="0"/>
              <w:jc w:val="center"/>
            </w:pPr>
            <w:r>
              <w:rPr>
                <w:sz w:val="18"/>
              </w:rPr>
              <w:t>3,405 tot 4,312</w:t>
            </w:r>
          </w:p>
        </w:tc>
        <w:tc>
          <w:tcPr>
            <w:tcW w:type="dxa" w:w="1973"/>
          </w:tcPr>
          <w:p>
            <w:pPr>
              <w:spacing w:after="0"/>
              <w:jc w:val="center"/>
            </w:pPr>
            <w:r>
              <w:rPr>
                <w:sz w:val="18"/>
              </w:rPr>
              <w:t>&lt; 0,001</w:t>
            </w:r>
          </w:p>
        </w:tc>
      </w:tr>
      <w:tr>
        <w:tc>
          <w:tcPr>
            <w:tcW w:type="dxa" w:w="1973"/>
            <w:shd w:fill="F3F5F6"/>
          </w:tcPr>
          <w:p>
            <w:pPr>
              <w:spacing w:after="0"/>
              <w:jc w:val="center"/>
            </w:pPr>
            <w:r>
              <w:rPr>
                <w:sz w:val="18"/>
              </w:rPr>
              <w:t>Leeftijd</w:t>
            </w:r>
          </w:p>
        </w:tc>
        <w:tc>
          <w:tcPr>
            <w:tcW w:type="dxa" w:w="1973"/>
            <w:shd w:fill="F3F5F6"/>
          </w:tcPr>
          <w:p>
            <w:pPr>
              <w:spacing w:after="0"/>
              <w:jc w:val="center"/>
            </w:pPr>
            <w:r>
              <w:rPr>
                <w:sz w:val="18"/>
              </w:rPr>
              <w:t>0,021</w:t>
            </w:r>
          </w:p>
        </w:tc>
        <w:tc>
          <w:tcPr>
            <w:tcW w:type="dxa" w:w="1973"/>
            <w:shd w:fill="F3F5F6"/>
          </w:tcPr>
          <w:p>
            <w:pPr>
              <w:spacing w:after="0"/>
              <w:jc w:val="center"/>
            </w:pPr>
            <w:r>
              <w:rPr>
                <w:sz w:val="18"/>
              </w:rPr>
              <w:t>0,005</w:t>
            </w:r>
          </w:p>
        </w:tc>
        <w:tc>
          <w:tcPr>
            <w:tcW w:type="dxa" w:w="1973"/>
            <w:shd w:fill="F3F5F6"/>
          </w:tcPr>
          <w:p>
            <w:pPr>
              <w:spacing w:after="0"/>
              <w:jc w:val="center"/>
            </w:pPr>
            <w:r>
              <w:rPr>
                <w:sz w:val="18"/>
              </w:rPr>
              <w:t>0,010 tot 0,031</w:t>
            </w:r>
          </w:p>
        </w:tc>
        <w:tc>
          <w:tcPr>
            <w:tcW w:type="dxa" w:w="1973"/>
            <w:shd w:fill="F3F5F6"/>
          </w:tcPr>
          <w:p>
            <w:pPr>
              <w:spacing w:after="0"/>
              <w:jc w:val="center"/>
            </w:pPr>
            <w:r>
              <w:rPr>
                <w:sz w:val="18"/>
              </w:rPr>
              <w:t>&lt; 0,001</w:t>
            </w:r>
          </w:p>
        </w:tc>
      </w:tr>
    </w:tbl>
    <w:p>
      <w:pPr>
        <w:spacing w:after="0"/>
      </w:pPr>
    </w:p>
    <w:p>
      <w:pPr>
        <w:keepNext/>
        <w:spacing w:before="100" w:after="80"/>
      </w:pPr>
      <w:r>
        <w:rPr>
          <w:b/>
          <w:color w:val="138A8A"/>
        </w:rPr>
        <w:t xml:space="preserve">2a. </w:t>
      </w:r>
      <w:r>
        <w:t>Welk percentage van de variantie in pocketdiepte wordt door leeftijd verklaard?</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R Square is 0,138. Leeftijd verklaart in dit model dus 13,8% van de waargenomen variantie in pocketdiepte.</w:t>
            </w:r>
          </w:p>
        </w:tc>
      </w:tr>
    </w:tbl>
    <w:p>
      <w:pPr>
        <w:spacing w:after="0"/>
      </w:pPr>
    </w:p>
    <w:p>
      <w:pPr>
        <w:keepNext/>
        <w:spacing w:before="100" w:after="80"/>
      </w:pPr>
      <w:r>
        <w:rPr>
          <w:b/>
          <w:color w:val="138A8A"/>
        </w:rPr>
        <w:t xml:space="preserve">2b. </w:t>
      </w:r>
      <w:r>
        <w:t>Wat betekent de regressiecoëfficiënt van leeftijd in de context van dit onderzoek?</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Personen die één jaar ouder zijn, hebben volgens het model een gemiddeld 0,021 mm grotere pocketdiepte.</w:t>
            </w:r>
          </w:p>
        </w:tc>
      </w:tr>
    </w:tbl>
    <w:p>
      <w:pPr>
        <w:spacing w:after="0"/>
      </w:pPr>
    </w:p>
    <w:p>
      <w:pPr>
        <w:keepNext/>
        <w:spacing w:before="100" w:after="80"/>
      </w:pPr>
      <w:r>
        <w:rPr>
          <w:b/>
          <w:color w:val="138A8A"/>
        </w:rPr>
        <w:t xml:space="preserve">2c. </w:t>
      </w:r>
      <w:r>
        <w:t>Is de samenhang tussen leeftijd en pocketdiepte statistisch significant bij een significantieniveau van 5%? Onderbouw je antwoord met de p-waarde.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De p-waarde is kleiner dan 0,001 en daarmee kleiner dan 0,05. De samenhang is dus statistisch significant.</w:t>
            </w:r>
          </w:p>
        </w:tc>
      </w:tr>
    </w:tbl>
    <w:p>
      <w:pPr>
        <w:spacing w:after="0"/>
      </w:pPr>
    </w:p>
    <w:p>
      <w:pPr>
        <w:pStyle w:val="Heading1"/>
      </w:pPr>
      <w:r>
        <w:t>Diagnostiek voor het leeftijdsmodel</w:t>
      </w:r>
    </w:p>
    <w:p>
      <w:pPr>
        <w:spacing w:after="40"/>
        <w:jc w:val="center"/>
      </w:pPr>
      <w:r>
        <w:drawing>
          <wp:inline xmlns:a="http://schemas.openxmlformats.org/drawingml/2006/main" xmlns:pic="http://schemas.openxmlformats.org/drawingml/2006/picture">
            <wp:extent cx="4320000" cy="2700000"/>
            <wp:docPr id="2" name="Picture 2"/>
            <wp:cNvGraphicFramePr>
              <a:graphicFrameLocks noChangeAspect="1"/>
            </wp:cNvGraphicFramePr>
            <a:graphic>
              <a:graphicData uri="http://schemas.openxmlformats.org/drawingml/2006/picture">
                <pic:pic>
                  <pic:nvPicPr>
                    <pic:cNvPr id="0" name="age_residual_histogram.png"/>
                    <pic:cNvPicPr/>
                  </pic:nvPicPr>
                  <pic:blipFill>
                    <a:blip r:embed="rId12"/>
                    <a:stretch>
                      <a:fillRect/>
                    </a:stretch>
                  </pic:blipFill>
                  <pic:spPr>
                    <a:xfrm>
                      <a:off x="0" y="0"/>
                      <a:ext cx="4320000" cy="2700000"/>
                    </a:xfrm>
                    <a:prstGeom prst="rect"/>
                  </pic:spPr>
                </pic:pic>
              </a:graphicData>
            </a:graphic>
          </wp:inline>
        </w:drawing>
      </w:r>
    </w:p>
    <w:p>
      <w:pPr>
        <w:pStyle w:val="Smallnote"/>
        <w:spacing w:after="120"/>
        <w:jc w:val="center"/>
      </w:pPr>
      <w:r>
        <w:t>Histogram van resid_leeftijd, uitgedrukt in mm.</w:t>
      </w:r>
    </w:p>
    <w:p>
      <w:r>
        <w:br w:type="page"/>
      </w:r>
    </w:p>
    <w:p>
      <w:pPr>
        <w:keepNext/>
        <w:spacing w:before="100" w:after="80"/>
      </w:pPr>
      <w:r>
        <w:rPr>
          <w:b/>
          <w:color w:val="138A8A"/>
        </w:rPr>
        <w:t xml:space="preserve">2d. </w:t>
      </w:r>
      <w:r>
        <w:t>Lijken de residuen van het leeftijdsmodel bij benadering normaal verdeeld? Licht je antwoord toe aan de hand van de relevante grafiek.</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Het histogram is enigszins rechtsscheef, maar vertoont geen ernstige afwijking van een normale verdeling. Normaliteit lijkt hier een redelijke benadering.</w:t>
            </w:r>
          </w:p>
        </w:tc>
      </w:tr>
    </w:tbl>
    <w:p>
      <w:pPr>
        <w:spacing w:after="0"/>
      </w:pPr>
    </w:p>
    <w:p>
      <w:pPr>
        <w:spacing w:after="4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age_residual_plot.png"/>
                    <pic:cNvPicPr/>
                  </pic:nvPicPr>
                  <pic:blipFill>
                    <a:blip r:embed="rId13"/>
                    <a:stretch>
                      <a:fillRect/>
                    </a:stretch>
                  </pic:blipFill>
                  <pic:spPr>
                    <a:xfrm>
                      <a:off x="0" y="0"/>
                      <a:ext cx="5400000" cy="3375000"/>
                    </a:xfrm>
                    <a:prstGeom prst="rect"/>
                  </pic:spPr>
                </pic:pic>
              </a:graphicData>
            </a:graphic>
          </wp:inline>
        </w:drawing>
      </w:r>
    </w:p>
    <w:p>
      <w:pPr>
        <w:pStyle w:val="Smallnote"/>
        <w:spacing w:after="120"/>
        <w:jc w:val="center"/>
      </w:pPr>
      <w:r>
        <w:t>resid_leeftijd tegen pred_leeftijd; beide assen zijn uitgedrukt in mm.</w:t>
      </w:r>
    </w:p>
    <w:p>
      <w:pPr>
        <w:keepNext/>
        <w:spacing w:before="100" w:after="80"/>
      </w:pPr>
      <w:r>
        <w:rPr>
          <w:b/>
          <w:color w:val="138A8A"/>
        </w:rPr>
        <w:t xml:space="preserve">2e. </w:t>
      </w:r>
      <w:r>
        <w:t>Lijkt de variantie van de errors constant (homoscedasticiteit)? Waarom?</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Ja. De verticale spreiding van de residuen blijft over het bereik van de voorspelde waarden ongeveer gelijk. Er is geen duidelijke trechtervorm.</w:t>
            </w:r>
          </w:p>
        </w:tc>
      </w:tr>
    </w:tbl>
    <w:p>
      <w:pPr>
        <w:spacing w:after="0"/>
      </w:pPr>
    </w:p>
    <w:p>
      <w:pPr>
        <w:keepNext/>
        <w:spacing w:before="100" w:after="80"/>
      </w:pPr>
      <w:r>
        <w:rPr>
          <w:b/>
          <w:color w:val="138A8A"/>
        </w:rPr>
        <w:t xml:space="preserve">2f. </w:t>
      </w:r>
      <w:r>
        <w:t>Is een lineaire relatie tussen leeftijd en de verwachte pocketdiepte aannemelijk? Waarom?</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Ja. In de residuplot is geen systematisch gebogen patroon zichtbaar. Een lineair model lijkt daarom een redelijke beschrijving.</w:t>
            </w:r>
          </w:p>
        </w:tc>
      </w:tr>
    </w:tbl>
    <w:p>
      <w:pPr>
        <w:spacing w:after="0"/>
      </w:pPr>
    </w:p>
    <w:p>
      <w:r>
        <w:br w:type="page"/>
      </w:r>
    </w:p>
    <w:p>
      <w:pPr>
        <w:pStyle w:val="Heading1"/>
      </w:pPr>
      <w:r>
        <w:t>3. Lineaire regressie met alcoholcategorie</w:t>
      </w: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Referentiecategorie: </w:t>
            </w:r>
            <w:r>
              <w:t>Niet-drinkers hebben alcohol_matig = 0 en alcohol_veel = 0. De twee coëfficiënten vergelijken de andere categorieën afzonderlijk met deze groep.</w:t>
            </w:r>
          </w:p>
        </w:tc>
      </w:tr>
    </w:tbl>
    <w:p>
      <w:pPr>
        <w:pStyle w:val="Heading2"/>
      </w:pPr>
      <w:r>
        <w:t>ANOVA</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15364A"/>
          </w:tcPr>
          <w:p>
            <w:pPr>
              <w:spacing w:after="0"/>
              <w:jc w:val="center"/>
            </w:pPr>
            <w:r>
              <w:rPr>
                <w:b/>
                <w:color w:val="FFFFFF"/>
                <w:sz w:val="18"/>
              </w:rPr>
              <w:t>Bron</w:t>
            </w:r>
          </w:p>
        </w:tc>
        <w:tc>
          <w:tcPr>
            <w:tcW w:type="dxa" w:w="1973"/>
            <w:shd w:fill="15364A"/>
          </w:tcPr>
          <w:p>
            <w:pPr>
              <w:spacing w:after="0"/>
              <w:jc w:val="center"/>
            </w:pPr>
            <w:r>
              <w:rPr>
                <w:b/>
                <w:color w:val="FFFFFF"/>
                <w:sz w:val="18"/>
              </w:rPr>
              <w:t>df</w:t>
            </w:r>
          </w:p>
        </w:tc>
        <w:tc>
          <w:tcPr>
            <w:tcW w:type="dxa" w:w="1973"/>
            <w:shd w:fill="15364A"/>
          </w:tcPr>
          <w:p>
            <w:pPr>
              <w:spacing w:after="0"/>
              <w:jc w:val="center"/>
            </w:pPr>
            <w:r>
              <w:rPr>
                <w:b/>
                <w:color w:val="FFFFFF"/>
                <w:sz w:val="18"/>
              </w:rPr>
              <w:t>Mean Square</w:t>
            </w:r>
          </w:p>
        </w:tc>
        <w:tc>
          <w:tcPr>
            <w:tcW w:type="dxa" w:w="1973"/>
            <w:shd w:fill="15364A"/>
          </w:tcPr>
          <w:p>
            <w:pPr>
              <w:spacing w:after="0"/>
              <w:jc w:val="center"/>
            </w:pPr>
            <w:r>
              <w:rPr>
                <w:b/>
                <w:color w:val="FFFFFF"/>
                <w:sz w:val="18"/>
              </w:rPr>
              <w:t>F</w:t>
            </w:r>
          </w:p>
        </w:tc>
        <w:tc>
          <w:tcPr>
            <w:tcW w:type="dxa" w:w="1973"/>
            <w:shd w:fill="15364A"/>
          </w:tcPr>
          <w:p>
            <w:pPr>
              <w:spacing w:after="0"/>
              <w:jc w:val="center"/>
            </w:pPr>
            <w:r>
              <w:rPr>
                <w:b/>
                <w:color w:val="FFFFFF"/>
                <w:sz w:val="18"/>
              </w:rPr>
              <w:t>p</w:t>
            </w:r>
          </w:p>
        </w:tc>
      </w:tr>
      <w:tr>
        <w:tc>
          <w:tcPr>
            <w:tcW w:type="dxa" w:w="1973"/>
          </w:tcPr>
          <w:p>
            <w:pPr>
              <w:spacing w:after="0"/>
              <w:jc w:val="center"/>
            </w:pPr>
            <w:r>
              <w:rPr>
                <w:sz w:val="18"/>
              </w:rPr>
              <w:t>Regression</w:t>
            </w:r>
          </w:p>
        </w:tc>
        <w:tc>
          <w:tcPr>
            <w:tcW w:type="dxa" w:w="1973"/>
          </w:tcPr>
          <w:p>
            <w:pPr>
              <w:spacing w:after="0"/>
              <w:jc w:val="center"/>
            </w:pPr>
            <w:r>
              <w:rPr>
                <w:sz w:val="18"/>
              </w:rPr>
              <w:t>2</w:t>
            </w:r>
          </w:p>
        </w:tc>
        <w:tc>
          <w:tcPr>
            <w:tcW w:type="dxa" w:w="1973"/>
          </w:tcPr>
          <w:p>
            <w:pPr>
              <w:spacing w:after="0"/>
              <w:jc w:val="center"/>
            </w:pPr>
            <w:r>
              <w:rPr>
                <w:sz w:val="18"/>
              </w:rPr>
              <w:t>6,296</w:t>
            </w:r>
          </w:p>
        </w:tc>
        <w:tc>
          <w:tcPr>
            <w:tcW w:type="dxa" w:w="1973"/>
          </w:tcPr>
          <w:p>
            <w:pPr>
              <w:spacing w:after="0"/>
              <w:jc w:val="center"/>
            </w:pPr>
            <w:r>
              <w:rPr>
                <w:sz w:val="18"/>
              </w:rPr>
              <w:t>11,751</w:t>
            </w:r>
          </w:p>
        </w:tc>
        <w:tc>
          <w:tcPr>
            <w:tcW w:type="dxa" w:w="1973"/>
          </w:tcPr>
          <w:p>
            <w:pPr>
              <w:spacing w:after="0"/>
              <w:jc w:val="center"/>
            </w:pPr>
            <w:r>
              <w:rPr>
                <w:sz w:val="18"/>
              </w:rPr>
              <w:t>&lt; 0,001</w:t>
            </w:r>
          </w:p>
        </w:tc>
      </w:tr>
      <w:tr>
        <w:tc>
          <w:tcPr>
            <w:tcW w:type="dxa" w:w="1973"/>
            <w:shd w:fill="F3F5F6"/>
          </w:tcPr>
          <w:p>
            <w:pPr>
              <w:spacing w:after="0"/>
              <w:jc w:val="center"/>
            </w:pPr>
            <w:r>
              <w:rPr>
                <w:sz w:val="18"/>
              </w:rPr>
              <w:t>Residual</w:t>
            </w:r>
          </w:p>
        </w:tc>
        <w:tc>
          <w:tcPr>
            <w:tcW w:type="dxa" w:w="1973"/>
            <w:shd w:fill="F3F5F6"/>
          </w:tcPr>
          <w:p>
            <w:pPr>
              <w:spacing w:after="0"/>
              <w:jc w:val="center"/>
            </w:pPr>
            <w:r>
              <w:rPr>
                <w:sz w:val="18"/>
              </w:rPr>
              <w:t>97</w:t>
            </w:r>
          </w:p>
        </w:tc>
        <w:tc>
          <w:tcPr>
            <w:tcW w:type="dxa" w:w="1973"/>
            <w:shd w:fill="F3F5F6"/>
          </w:tcPr>
          <w:p>
            <w:pPr>
              <w:spacing w:after="0"/>
              <w:jc w:val="center"/>
            </w:pPr>
            <w:r>
              <w:rPr>
                <w:sz w:val="18"/>
              </w:rPr>
              <w:t>0,536</w:t>
            </w:r>
          </w:p>
        </w:tc>
        <w:tc>
          <w:tcPr>
            <w:tcW w:type="dxa" w:w="1973"/>
            <w:shd w:fill="F3F5F6"/>
          </w:tcPr>
          <w:p>
            <w:pPr>
              <w:spacing w:after="0"/>
              <w:jc w:val="center"/>
            </w:pPr>
            <w:r>
              <w:rPr>
                <w:sz w:val="18"/>
              </w:rPr>
            </w:r>
          </w:p>
        </w:tc>
        <w:tc>
          <w:tcPr>
            <w:tcW w:type="dxa" w:w="1973"/>
            <w:shd w:fill="F3F5F6"/>
          </w:tcPr>
          <w:p>
            <w:pPr>
              <w:spacing w:after="0"/>
              <w:jc w:val="center"/>
            </w:pPr>
            <w:r>
              <w:rPr>
                <w:sz w:val="18"/>
              </w:rPr>
            </w:r>
          </w:p>
        </w:tc>
      </w:tr>
    </w:tbl>
    <w:p>
      <w:pPr>
        <w:spacing w:after="0"/>
      </w:pPr>
    </w:p>
    <w:p>
      <w:pPr>
        <w:pStyle w:val="Heading2"/>
      </w:pPr>
      <w:r>
        <w:t>Coefficients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1973"/>
            <w:shd w:fill="15364A"/>
          </w:tcPr>
          <w:p>
            <w:pPr>
              <w:spacing w:after="0"/>
              <w:jc w:val="center"/>
            </w:pPr>
            <w:r>
              <w:rPr>
                <w:b/>
                <w:color w:val="FFFFFF"/>
                <w:sz w:val="18"/>
              </w:rPr>
              <w:t>Term</w:t>
            </w:r>
          </w:p>
        </w:tc>
        <w:tc>
          <w:tcPr>
            <w:tcW w:type="dxa" w:w="1973"/>
            <w:shd w:fill="15364A"/>
          </w:tcPr>
          <w:p>
            <w:pPr>
              <w:spacing w:after="0"/>
              <w:jc w:val="center"/>
            </w:pPr>
            <w:r>
              <w:rPr>
                <w:b/>
                <w:color w:val="FFFFFF"/>
                <w:sz w:val="18"/>
              </w:rPr>
              <w:t>B</w:t>
            </w:r>
          </w:p>
        </w:tc>
        <w:tc>
          <w:tcPr>
            <w:tcW w:type="dxa" w:w="1973"/>
            <w:shd w:fill="15364A"/>
          </w:tcPr>
          <w:p>
            <w:pPr>
              <w:spacing w:after="0"/>
              <w:jc w:val="center"/>
            </w:pPr>
            <w:r>
              <w:rPr>
                <w:b/>
                <w:color w:val="FFFFFF"/>
                <w:sz w:val="18"/>
              </w:rPr>
              <w:t>Std. Error</w:t>
            </w:r>
          </w:p>
        </w:tc>
        <w:tc>
          <w:tcPr>
            <w:tcW w:type="dxa" w:w="1973"/>
            <w:shd w:fill="15364A"/>
          </w:tcPr>
          <w:p>
            <w:pPr>
              <w:spacing w:after="0"/>
              <w:jc w:val="center"/>
            </w:pPr>
            <w:r>
              <w:rPr>
                <w:b/>
                <w:color w:val="FFFFFF"/>
                <w:sz w:val="18"/>
              </w:rPr>
              <w:t>95%-BI</w:t>
            </w:r>
          </w:p>
        </w:tc>
        <w:tc>
          <w:tcPr>
            <w:tcW w:type="dxa" w:w="1973"/>
            <w:shd w:fill="15364A"/>
          </w:tcPr>
          <w:p>
            <w:pPr>
              <w:spacing w:after="0"/>
              <w:jc w:val="center"/>
            </w:pPr>
            <w:r>
              <w:rPr>
                <w:b/>
                <w:color w:val="FFFFFF"/>
                <w:sz w:val="18"/>
              </w:rPr>
              <w:t>p</w:t>
            </w:r>
          </w:p>
        </w:tc>
      </w:tr>
      <w:tr>
        <w:tc>
          <w:tcPr>
            <w:tcW w:type="dxa" w:w="1973"/>
          </w:tcPr>
          <w:p>
            <w:pPr>
              <w:spacing w:after="0"/>
              <w:jc w:val="center"/>
            </w:pPr>
            <w:r>
              <w:rPr>
                <w:sz w:val="18"/>
              </w:rPr>
              <w:t>Constant</w:t>
            </w:r>
          </w:p>
        </w:tc>
        <w:tc>
          <w:tcPr>
            <w:tcW w:type="dxa" w:w="1973"/>
          </w:tcPr>
          <w:p>
            <w:pPr>
              <w:spacing w:after="0"/>
              <w:jc w:val="center"/>
            </w:pPr>
            <w:r>
              <w:rPr>
                <w:sz w:val="18"/>
              </w:rPr>
              <w:t>4,863</w:t>
            </w:r>
          </w:p>
        </w:tc>
        <w:tc>
          <w:tcPr>
            <w:tcW w:type="dxa" w:w="1973"/>
          </w:tcPr>
          <w:p>
            <w:pPr>
              <w:spacing w:after="0"/>
              <w:jc w:val="center"/>
            </w:pPr>
            <w:r>
              <w:rPr>
                <w:sz w:val="18"/>
              </w:rPr>
              <w:t>0,116</w:t>
            </w:r>
          </w:p>
        </w:tc>
        <w:tc>
          <w:tcPr>
            <w:tcW w:type="dxa" w:w="1973"/>
          </w:tcPr>
          <w:p>
            <w:pPr>
              <w:spacing w:after="0"/>
              <w:jc w:val="center"/>
            </w:pPr>
            <w:r>
              <w:rPr>
                <w:sz w:val="18"/>
              </w:rPr>
              <w:t>4,633 tot 5,093</w:t>
            </w:r>
          </w:p>
        </w:tc>
        <w:tc>
          <w:tcPr>
            <w:tcW w:type="dxa" w:w="1973"/>
          </w:tcPr>
          <w:p>
            <w:pPr>
              <w:spacing w:after="0"/>
              <w:jc w:val="center"/>
            </w:pPr>
            <w:r>
              <w:rPr>
                <w:sz w:val="18"/>
              </w:rPr>
              <w:t>&lt; 0,001</w:t>
            </w:r>
          </w:p>
        </w:tc>
      </w:tr>
      <w:tr>
        <w:tc>
          <w:tcPr>
            <w:tcW w:type="dxa" w:w="1973"/>
            <w:shd w:fill="F3F5F6"/>
          </w:tcPr>
          <w:p>
            <w:pPr>
              <w:spacing w:after="0"/>
              <w:jc w:val="center"/>
            </w:pPr>
            <w:r>
              <w:rPr>
                <w:sz w:val="18"/>
              </w:rPr>
              <w:t>alcohol_matig</w:t>
            </w:r>
          </w:p>
        </w:tc>
        <w:tc>
          <w:tcPr>
            <w:tcW w:type="dxa" w:w="1973"/>
            <w:shd w:fill="F3F5F6"/>
          </w:tcPr>
          <w:p>
            <w:pPr>
              <w:spacing w:after="0"/>
              <w:jc w:val="center"/>
            </w:pPr>
            <w:r>
              <w:rPr>
                <w:sz w:val="18"/>
              </w:rPr>
              <w:t>-0,575</w:t>
            </w:r>
          </w:p>
        </w:tc>
        <w:tc>
          <w:tcPr>
            <w:tcW w:type="dxa" w:w="1973"/>
            <w:shd w:fill="F3F5F6"/>
          </w:tcPr>
          <w:p>
            <w:pPr>
              <w:spacing w:after="0"/>
              <w:jc w:val="center"/>
            </w:pPr>
            <w:r>
              <w:rPr>
                <w:sz w:val="18"/>
              </w:rPr>
              <w:t>0,166</w:t>
            </w:r>
          </w:p>
        </w:tc>
        <w:tc>
          <w:tcPr>
            <w:tcW w:type="dxa" w:w="1973"/>
            <w:shd w:fill="F3F5F6"/>
          </w:tcPr>
          <w:p>
            <w:pPr>
              <w:spacing w:after="0"/>
              <w:jc w:val="center"/>
            </w:pPr>
            <w:r>
              <w:rPr>
                <w:sz w:val="18"/>
              </w:rPr>
              <w:t>-0,904 tot -0,246</w:t>
            </w:r>
          </w:p>
        </w:tc>
        <w:tc>
          <w:tcPr>
            <w:tcW w:type="dxa" w:w="1973"/>
            <w:shd w:fill="F3F5F6"/>
          </w:tcPr>
          <w:p>
            <w:pPr>
              <w:spacing w:after="0"/>
              <w:jc w:val="center"/>
            </w:pPr>
            <w:r>
              <w:rPr>
                <w:sz w:val="18"/>
              </w:rPr>
              <w:t>0,001</w:t>
            </w:r>
          </w:p>
        </w:tc>
      </w:tr>
      <w:tr>
        <w:tc>
          <w:tcPr>
            <w:tcW w:type="dxa" w:w="1973"/>
          </w:tcPr>
          <w:p>
            <w:pPr>
              <w:spacing w:after="0"/>
              <w:jc w:val="center"/>
            </w:pPr>
            <w:r>
              <w:rPr>
                <w:sz w:val="18"/>
              </w:rPr>
              <w:t>alcohol_veel</w:t>
            </w:r>
          </w:p>
        </w:tc>
        <w:tc>
          <w:tcPr>
            <w:tcW w:type="dxa" w:w="1973"/>
          </w:tcPr>
          <w:p>
            <w:pPr>
              <w:spacing w:after="0"/>
              <w:jc w:val="center"/>
            </w:pPr>
            <w:r>
              <w:rPr>
                <w:sz w:val="18"/>
              </w:rPr>
              <w:t>0,318</w:t>
            </w:r>
          </w:p>
        </w:tc>
        <w:tc>
          <w:tcPr>
            <w:tcW w:type="dxa" w:w="1973"/>
          </w:tcPr>
          <w:p>
            <w:pPr>
              <w:spacing w:after="0"/>
              <w:jc w:val="center"/>
            </w:pPr>
            <w:r>
              <w:rPr>
                <w:sz w:val="18"/>
              </w:rPr>
              <w:t>0,194</w:t>
            </w:r>
          </w:p>
        </w:tc>
        <w:tc>
          <w:tcPr>
            <w:tcW w:type="dxa" w:w="1973"/>
          </w:tcPr>
          <w:p>
            <w:pPr>
              <w:spacing w:after="0"/>
              <w:jc w:val="center"/>
            </w:pPr>
            <w:r>
              <w:rPr>
                <w:sz w:val="18"/>
              </w:rPr>
              <w:t>-0,067 tot 0,704</w:t>
            </w:r>
          </w:p>
        </w:tc>
        <w:tc>
          <w:tcPr>
            <w:tcW w:type="dxa" w:w="1973"/>
          </w:tcPr>
          <w:p>
            <w:pPr>
              <w:spacing w:after="0"/>
              <w:jc w:val="center"/>
            </w:pPr>
            <w:r>
              <w:rPr>
                <w:sz w:val="18"/>
              </w:rPr>
              <w:t>0,105</w:t>
            </w:r>
          </w:p>
        </w:tc>
      </w:tr>
    </w:tbl>
    <w:p>
      <w:pPr>
        <w:spacing w:after="0"/>
      </w:pPr>
    </w:p>
    <w:p>
      <w:pPr>
        <w:pStyle w:val="Menupath"/>
      </w:pPr>
      <w:r>
        <w:t>Geschatte vergelijking: 4,863 - 0,575 * alcohol_matig + 0,318 * alcohol_veel</w:t>
      </w:r>
    </w:p>
    <w:p>
      <w:pPr>
        <w:keepNext/>
        <w:spacing w:before="100" w:after="80"/>
      </w:pPr>
      <w:r>
        <w:rPr>
          <w:b/>
          <w:color w:val="138A8A"/>
        </w:rPr>
        <w:t xml:space="preserve">3a. </w:t>
      </w:r>
      <w:r>
        <w:t>Bereken met de geschatte regressievergelijking de geschatte gemiddelde pocketdiepte voor elk van de drie alcoholcategorieën.</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Geen alcohol: 4,863 mm. Voor 1-2 glazen per dag: 4,863 - 0,575 = 4,288 mm. Voor meer dan 2 glazen per dag: 4,863 + 0,318 = 5,181 mm.</w:t>
            </w:r>
          </w:p>
        </w:tc>
      </w:tr>
    </w:tbl>
    <w:p>
      <w:pPr>
        <w:spacing w:after="0"/>
      </w:pPr>
    </w:p>
    <w:p>
      <w:pPr>
        <w:keepNext/>
        <w:spacing w:before="100" w:after="80"/>
      </w:pPr>
      <w:r>
        <w:rPr>
          <w:b/>
          <w:color w:val="138A8A"/>
        </w:rPr>
        <w:t xml:space="preserve">3b. </w:t>
      </w:r>
      <w:r>
        <w:t>Kan op basis van de SPSS-output worden geconcludeerd dat alcoholgebruik samenhangt met pocketdiepte? Gebruik een significantieniveau van 5%.</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De globale F-toets toetst of de coëfficiënten van alcohol_matig en alcohol_veel beide nul zijn. F(2, 97) = 11,751 en p &lt; 0,001. We verwerpen de nulhypothese en concluderen dat pocketdiepte samenhangt met alcoholcategorie.</w:t>
            </w:r>
          </w:p>
        </w:tc>
      </w:tr>
    </w:tbl>
    <w:p>
      <w:pPr>
        <w:spacing w:after="0"/>
      </w:pPr>
    </w:p>
    <w:p>
      <w:r>
        <w:br w:type="page"/>
      </w:r>
    </w:p>
    <w:p>
      <w:pPr>
        <w:pStyle w:val="Heading1"/>
      </w:pPr>
      <w:r>
        <w:t>Post-hocvergelijkingen</w:t>
      </w:r>
    </w:p>
    <w:p>
      <w:r>
        <w:t>De globale F-toets laat zien of alcoholcategorie als geheel samenhangt met pocketdiepte, maar niet welke categorieën van elkaar verschillen. Daarom vergelijken we na de globale toets de categorieën paarsgewijs. Met niet-drinkers als referentiecategorie zijn de eerste twee vergelijkingen rechtstreeks af te lezen uit de coëfficiëntentabel.</w:t>
      </w:r>
    </w:p>
    <w:p>
      <w:pPr>
        <w:keepNext/>
        <w:spacing w:before="100" w:after="80"/>
      </w:pPr>
      <w:r>
        <w:rPr>
          <w:b/>
          <w:color w:val="138A8A"/>
        </w:rPr>
        <w:t xml:space="preserve">3c. </w:t>
      </w:r>
      <w:r>
        <w:t>Verschilt de geschatte gemiddelde pocketdiepte statistisch significant tussen niet-drinkers en personen die 1-2 glazen per dag drinken? Onderbouw je antwoord met het geschatte verschil en de p-waarde.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Ja. De coëfficiënt van alcohol_matig is -0,575 mm met p = 0,001. Personen die 1-2 glazen per dag drinken hebben volgens het model een 0,575 mm lagere geschatte gemiddelde pocketdiepte dan niet-drinkers.</w:t>
            </w:r>
          </w:p>
        </w:tc>
      </w:tr>
    </w:tbl>
    <w:p>
      <w:pPr>
        <w:spacing w:after="0"/>
      </w:pPr>
    </w:p>
    <w:p>
      <w:pPr>
        <w:keepNext/>
        <w:spacing w:before="100" w:after="80"/>
      </w:pPr>
      <w:r>
        <w:rPr>
          <w:b/>
          <w:color w:val="138A8A"/>
        </w:rPr>
        <w:t xml:space="preserve">3d. </w:t>
      </w:r>
      <w:r>
        <w:t>Verschilt de geschatte gemiddelde pocketdiepte statistisch significant tussen niet-drinkers en personen die meer dan 2 glazen per dag drinken? Onderbouw je antwoord met het geschatte verschil en de p-waarde.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Nee. De coëfficiënt van alcohol_veel is 0,318 mm met p = 0,105. Personen die meer dan 2 glazen per dag drinken hebben volgens het model een 0,318 mm hogere geschatte gemiddelde pocketdiepte dan niet-drinkers. Dit verschil is niet statistisch significant bij 5%.</w:t>
            </w:r>
          </w:p>
        </w:tc>
      </w:tr>
    </w:tbl>
    <w:p>
      <w:pPr>
        <w:spacing w:after="0"/>
      </w:pPr>
    </w:p>
    <w:p>
      <w:r>
        <w:t>De vergelijking tussen 1-2 glazen per dag en meer dan 2 glazen per dag staat niet rechtstreeks in de eerste coëfficiëntentabel. Met 1-2 glazen per dag als nieuwe referentiecategorie verschijnt deze vergelijking wel rechtstreeks in de output.</w:t>
      </w: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Andere referentiecategorie: </w:t>
            </w:r>
            <w:r>
              <w:t>Met 1-2 glazen per dag als referentiecategorie vergelijkt matigref_veel de groep met meer dan 2 glazen per dag rechtstreeks met deze groep.</w:t>
            </w:r>
          </w:p>
        </w:tc>
      </w:tr>
    </w:tbl>
    <w:p>
      <w:pPr>
        <w:pStyle w:val="Heading2"/>
      </w:pPr>
      <w:r>
        <w:t>Coefficients: 1-2 glazen per dag als referentiecategorie</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15364A"/>
          </w:tcPr>
          <w:p>
            <w:pPr>
              <w:spacing w:after="0"/>
              <w:jc w:val="center"/>
            </w:pPr>
            <w:r>
              <w:rPr>
                <w:b/>
                <w:color w:val="FFFFFF"/>
                <w:sz w:val="18"/>
              </w:rPr>
              <w:t>Term</w:t>
            </w:r>
          </w:p>
        </w:tc>
        <w:tc>
          <w:tcPr>
            <w:tcW w:type="dxa" w:w="2466"/>
            <w:shd w:fill="15364A"/>
          </w:tcPr>
          <w:p>
            <w:pPr>
              <w:spacing w:after="0"/>
              <w:jc w:val="center"/>
            </w:pPr>
            <w:r>
              <w:rPr>
                <w:b/>
                <w:color w:val="FFFFFF"/>
                <w:sz w:val="18"/>
              </w:rPr>
              <w:t>B</w:t>
            </w:r>
          </w:p>
        </w:tc>
        <w:tc>
          <w:tcPr>
            <w:tcW w:type="dxa" w:w="2466"/>
            <w:shd w:fill="15364A"/>
          </w:tcPr>
          <w:p>
            <w:pPr>
              <w:spacing w:after="0"/>
              <w:jc w:val="center"/>
            </w:pPr>
            <w:r>
              <w:rPr>
                <w:b/>
                <w:color w:val="FFFFFF"/>
                <w:sz w:val="18"/>
              </w:rPr>
              <w:t>Std. Error</w:t>
            </w:r>
          </w:p>
        </w:tc>
        <w:tc>
          <w:tcPr>
            <w:tcW w:type="dxa" w:w="2466"/>
            <w:shd w:fill="15364A"/>
          </w:tcPr>
          <w:p>
            <w:pPr>
              <w:spacing w:after="0"/>
              <w:jc w:val="center"/>
            </w:pPr>
            <w:r>
              <w:rPr>
                <w:b/>
                <w:color w:val="FFFFFF"/>
                <w:sz w:val="18"/>
              </w:rPr>
              <w:t>p</w:t>
            </w:r>
          </w:p>
        </w:tc>
      </w:tr>
      <w:tr>
        <w:tc>
          <w:tcPr>
            <w:tcW w:type="dxa" w:w="2466"/>
          </w:tcPr>
          <w:p>
            <w:pPr>
              <w:spacing w:after="0"/>
              <w:jc w:val="center"/>
            </w:pPr>
            <w:r>
              <w:rPr>
                <w:sz w:val="18"/>
              </w:rPr>
              <w:t>Constant</w:t>
            </w:r>
          </w:p>
        </w:tc>
        <w:tc>
          <w:tcPr>
            <w:tcW w:type="dxa" w:w="2466"/>
          </w:tcPr>
          <w:p>
            <w:pPr>
              <w:spacing w:after="0"/>
              <w:jc w:val="center"/>
            </w:pPr>
            <w:r>
              <w:rPr>
                <w:sz w:val="18"/>
              </w:rPr>
              <w:t>4,288</w:t>
            </w:r>
          </w:p>
        </w:tc>
        <w:tc>
          <w:tcPr>
            <w:tcW w:type="dxa" w:w="2466"/>
          </w:tcPr>
          <w:p>
            <w:pPr>
              <w:spacing w:after="0"/>
              <w:jc w:val="center"/>
            </w:pPr>
            <w:r>
              <w:rPr>
                <w:sz w:val="18"/>
              </w:rPr>
              <w:t>0,119</w:t>
            </w:r>
          </w:p>
        </w:tc>
        <w:tc>
          <w:tcPr>
            <w:tcW w:type="dxa" w:w="2466"/>
          </w:tcPr>
          <w:p>
            <w:pPr>
              <w:spacing w:after="0"/>
              <w:jc w:val="center"/>
            </w:pPr>
            <w:r>
              <w:rPr>
                <w:sz w:val="18"/>
              </w:rPr>
              <w:t>&lt; 0,001</w:t>
            </w:r>
          </w:p>
        </w:tc>
      </w:tr>
      <w:tr>
        <w:tc>
          <w:tcPr>
            <w:tcW w:type="dxa" w:w="2466"/>
            <w:shd w:fill="F3F5F6"/>
          </w:tcPr>
          <w:p>
            <w:pPr>
              <w:spacing w:after="0"/>
              <w:jc w:val="center"/>
            </w:pPr>
            <w:r>
              <w:rPr>
                <w:sz w:val="18"/>
              </w:rPr>
              <w:t>matigref_geen</w:t>
            </w:r>
          </w:p>
        </w:tc>
        <w:tc>
          <w:tcPr>
            <w:tcW w:type="dxa" w:w="2466"/>
            <w:shd w:fill="F3F5F6"/>
          </w:tcPr>
          <w:p>
            <w:pPr>
              <w:spacing w:after="0"/>
              <w:jc w:val="center"/>
            </w:pPr>
            <w:r>
              <w:rPr>
                <w:sz w:val="18"/>
              </w:rPr>
              <w:t>0,575</w:t>
            </w:r>
          </w:p>
        </w:tc>
        <w:tc>
          <w:tcPr>
            <w:tcW w:type="dxa" w:w="2466"/>
            <w:shd w:fill="F3F5F6"/>
          </w:tcPr>
          <w:p>
            <w:pPr>
              <w:spacing w:after="0"/>
              <w:jc w:val="center"/>
            </w:pPr>
            <w:r>
              <w:rPr>
                <w:sz w:val="18"/>
              </w:rPr>
              <w:t>0,166</w:t>
            </w:r>
          </w:p>
        </w:tc>
        <w:tc>
          <w:tcPr>
            <w:tcW w:type="dxa" w:w="2466"/>
            <w:shd w:fill="F3F5F6"/>
          </w:tcPr>
          <w:p>
            <w:pPr>
              <w:spacing w:after="0"/>
              <w:jc w:val="center"/>
            </w:pPr>
            <w:r>
              <w:rPr>
                <w:sz w:val="18"/>
              </w:rPr>
              <w:t>0,001</w:t>
            </w:r>
          </w:p>
        </w:tc>
      </w:tr>
      <w:tr>
        <w:tc>
          <w:tcPr>
            <w:tcW w:type="dxa" w:w="2466"/>
          </w:tcPr>
          <w:p>
            <w:pPr>
              <w:spacing w:after="0"/>
              <w:jc w:val="center"/>
            </w:pPr>
            <w:r>
              <w:rPr>
                <w:sz w:val="18"/>
              </w:rPr>
              <w:t>matigref_veel</w:t>
            </w:r>
          </w:p>
        </w:tc>
        <w:tc>
          <w:tcPr>
            <w:tcW w:type="dxa" w:w="2466"/>
          </w:tcPr>
          <w:p>
            <w:pPr>
              <w:spacing w:after="0"/>
              <w:jc w:val="center"/>
            </w:pPr>
            <w:r>
              <w:rPr>
                <w:sz w:val="18"/>
              </w:rPr>
              <w:t>0,893</w:t>
            </w:r>
          </w:p>
        </w:tc>
        <w:tc>
          <w:tcPr>
            <w:tcW w:type="dxa" w:w="2466"/>
          </w:tcPr>
          <w:p>
            <w:pPr>
              <w:spacing w:after="0"/>
              <w:jc w:val="center"/>
            </w:pPr>
            <w:r>
              <w:rPr>
                <w:sz w:val="18"/>
              </w:rPr>
              <w:t>0,196</w:t>
            </w:r>
          </w:p>
        </w:tc>
        <w:tc>
          <w:tcPr>
            <w:tcW w:type="dxa" w:w="2466"/>
          </w:tcPr>
          <w:p>
            <w:pPr>
              <w:spacing w:after="0"/>
              <w:jc w:val="center"/>
            </w:pPr>
            <w:r>
              <w:rPr>
                <w:sz w:val="18"/>
              </w:rPr>
              <w:t>&lt; 0,001</w:t>
            </w:r>
          </w:p>
        </w:tc>
      </w:tr>
    </w:tbl>
    <w:p>
      <w:pPr>
        <w:spacing w:after="0"/>
      </w:pPr>
    </w:p>
    <w:p>
      <w:pPr>
        <w:keepNext/>
        <w:spacing w:before="100" w:after="80"/>
      </w:pPr>
      <w:r>
        <w:rPr>
          <w:b/>
          <w:color w:val="138A8A"/>
        </w:rPr>
        <w:t xml:space="preserve">3e. </w:t>
      </w:r>
      <w:r>
        <w:t>Verschilt de geschatte gemiddelde pocketdiepte statistisch significant tussen personen die 1-2 glazen per dag drinken en personen die meer dan 2 glazen per dag drinken? Gebruik het model met 1-2 glazen per dag als referentiecategorie en onderbouw je antwoord met het geschatte verschil en de p-waarde.</w:t>
      </w:r>
    </w:p>
    <w:tbl>
      <w:tblPr>
        <w:tblW w:type="auto" w:w="0"/>
        <w:jc w:val="center"/>
        <w:tblLook w:firstColumn="1" w:firstRow="1" w:lastColumn="0" w:lastRow="0" w:noHBand="0" w:noVBand="1" w:val="04A0"/>
      </w:tblPr>
      <w:tblGrid>
        <w:gridCol w:w="9866"/>
      </w:tblGrid>
      <w:tr>
        <w:trPr>
          <w:cantSplit w:val="true"/>
        </w:trPr>
        <w:tc>
          <w:tcPr>
            <w:tcW w:type="dxa" w:w="9866"/>
            <w:shd w:fill="E8F4F3"/>
            <w:tcBorders>
              <w:top w:val="single" w:sz="5" w:color="B8D9D5"/>
              <w:left w:val="single" w:sz="5" w:color="B8D9D5"/>
              <w:bottom w:val="single" w:sz="5" w:color="B8D9D5"/>
              <w:right w:val="single" w:sz="5" w:color="B8D9D5"/>
            </w:tcBorders>
          </w:tcPr>
          <w:p>
            <w:pPr>
              <w:pStyle w:val="Answer"/>
              <w:spacing w:after="0"/>
            </w:pPr>
            <w:r>
              <w:t>Ja. De coëfficiënt van matigref_veel is 0,893 mm met p &lt; 0,001. Personen die meer dan 2 glazen per dag drinken hebben volgens dit model een 0,893 mm hogere geschatte gemiddelde pocketdiepte dan personen die 1-2 glazen per dag drinken.</w:t>
            </w:r>
          </w:p>
        </w:tc>
      </w:tr>
    </w:tbl>
    <w:p>
      <w:pPr>
        <w:spacing w:after="0"/>
      </w:pPr>
    </w:p>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Meervoudig toetsen: </w:t>
            </w:r>
            <w:r>
              <w:t>Hier hebben we het probleem van meervoudig toetsen genegeerd en ongecorrigeerde p-waarden gebruikt. Daardoor is de kans op ten minste één type-I-fout groter dan 5%. Een Bonferroni-correctie vermenigvuldigt iedere p-waarde met 3, met een maximum van 1. De conclusies veranderen in dit voorbeeld niet.</w:t>
            </w:r>
          </w:p>
        </w:tc>
      </w:tr>
    </w:tbl>
    <w:tbl>
      <w:tblPr>
        <w:tblW w:type="auto" w:w="0"/>
        <w:jc w:val="center"/>
        <w:tblLook w:firstColumn="1" w:firstRow="1" w:lastColumn="0" w:lastRow="0" w:noHBand="0" w:noVBand="1" w:val="04A0"/>
      </w:tblPr>
      <w:tblGrid>
        <w:gridCol w:w="9866"/>
      </w:tblGrid>
      <w:tr>
        <w:trPr>
          <w:cantSplit w:val="true"/>
        </w:trPr>
        <w:tc>
          <w:tcPr>
            <w:tcW w:type="dxa" w:w="9866"/>
            <w:shd w:fill="EAF2F7"/>
            <w:tcBorders>
              <w:left w:val="single" w:sz="18" w:color="138A8A"/>
              <w:top w:val="single" w:sz="2" w:color="EAF2F7"/>
              <w:right w:val="single" w:sz="2" w:color="EAF2F7"/>
              <w:bottom w:val="single" w:sz="2" w:color="EAF2F7"/>
            </w:tcBorders>
          </w:tcPr>
          <w:p>
            <w:pPr>
              <w:spacing w:after="0"/>
            </w:pPr>
            <w:r>
              <w:rPr>
                <w:b/>
                <w:color w:val="138A8A"/>
              </w:rPr>
              <w:t xml:space="preserve">Modelaannames: </w:t>
            </w:r>
            <w:r>
              <w:t>Ook dit regressiemodel vereist controle van normaal verdeelde errors en constante variantie. De procedure is gelijk aan die bij het leeftijdsmodel en wordt hier niet herhaald.</w:t>
            </w:r>
          </w:p>
        </w:tc>
      </w:tr>
    </w:tbl>
    <w:sectPr w:rsidR="00FC693F" w:rsidRPr="0006063C" w:rsidSect="00034616">
      <w:headerReference w:type="default" r:id="rId9"/>
      <w:footerReference w:type="default" r:id="rId10"/>
      <w:pgSz w:w="11906" w:h="16838"/>
      <w:pgMar w:top="964" w:right="1020" w:bottom="907" w:left="1020"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5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6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38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536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nupath">
    <w:name w:val="Menu path"/>
    <w:basedOn w:val="Normal"/>
    <w:pPr>
      <w:spacing w:before="60" w:after="60"/>
      <w:ind w:left="255"/>
    </w:pPr>
    <w:rPr>
      <w:rFonts w:ascii="Aptos" w:hAnsi="Aptos"/>
      <w:b/>
      <w:color w:val="138A8A"/>
      <w:sz w:val="20"/>
    </w:rPr>
  </w:style>
  <w:style w:type="paragraph" w:customStyle="1" w:styleId="Answer">
    <w:name w:val="Answer"/>
    <w:basedOn w:val="Normal"/>
    <w:pPr>
      <w:spacing w:after="120"/>
    </w:pPr>
    <w:rPr>
      <w:rFonts w:ascii="Aptos" w:hAnsi="Aptos"/>
      <w:i/>
      <w:color w:val="15364A"/>
      <w:sz w:val="20"/>
    </w:rPr>
  </w:style>
  <w:style w:type="paragraph" w:customStyle="1" w:styleId="Smallnote">
    <w:name w:val="Small note"/>
    <w:basedOn w:val="Normal"/>
    <w:pPr>
      <w:spacing w:after="80"/>
    </w:pPr>
    <w:rPr>
      <w:rFonts w:ascii="Aptos" w:hAnsi="Aptos"/>
      <w:color w:val="6371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