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83B38" w14:textId="074046C7" w:rsidR="00D7522C" w:rsidRPr="00F67FE2" w:rsidRDefault="00BF3DCC" w:rsidP="00F67FE2">
      <w:pPr>
        <w:pStyle w:val="papertitle"/>
        <w:spacing w:before="100" w:beforeAutospacing="1" w:after="100" w:afterAutospacing="1"/>
      </w:pPr>
      <w:r>
        <w:t>Starting with Tableau</w:t>
      </w:r>
    </w:p>
    <w:p w14:paraId="49B4A7F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5D331666" w14:textId="7968F9FB" w:rsidR="00F67FE2" w:rsidRDefault="00BF3DCC" w:rsidP="00F67FE2">
      <w:r>
        <w:t>Taten Knight</w:t>
      </w:r>
      <w:r w:rsidR="008105FF">
        <w:br/>
      </w:r>
      <w:r>
        <w:t>tatenhknight</w:t>
      </w:r>
      <w:r w:rsidR="00F67FE2">
        <w:t>@lewisu.edu</w:t>
      </w:r>
      <w:r w:rsidR="00D72D06" w:rsidRPr="00F847A6">
        <w:br/>
      </w:r>
      <w:r w:rsidR="009714C4">
        <w:t>DATA-5</w:t>
      </w:r>
      <w:r w:rsidR="00F2512B">
        <w:t>3</w:t>
      </w:r>
      <w:r w:rsidR="009714C4">
        <w:t>000</w:t>
      </w:r>
      <w:r w:rsidR="00F2512B">
        <w:t>, Summer 202</w:t>
      </w:r>
      <w:r>
        <w:t>2</w:t>
      </w:r>
    </w:p>
    <w:p w14:paraId="329B7ECD" w14:textId="178B9CB6" w:rsidR="008105FF" w:rsidRDefault="00F2512B" w:rsidP="00F67FE2">
      <w:pPr>
        <w:sectPr w:rsidR="008105FF" w:rsidSect="008105FF">
          <w:type w:val="continuous"/>
          <w:pgSz w:w="12240" w:h="15840" w:code="1"/>
          <w:pgMar w:top="1080" w:right="893" w:bottom="1440" w:left="893" w:header="720" w:footer="720" w:gutter="0"/>
          <w:cols w:space="216"/>
          <w:docGrid w:linePitch="360"/>
        </w:sectPr>
      </w:pPr>
      <w:r>
        <w:t xml:space="preserve">Data Visualization </w:t>
      </w:r>
      <w:r w:rsidR="008105FF" w:rsidRPr="00F847A6">
        <w:rPr>
          <w:i/>
        </w:rPr>
        <w:br/>
      </w:r>
      <w:r w:rsidR="008105FF">
        <w:t>Lewis Universit</w:t>
      </w:r>
      <w:r w:rsidR="00AE30B0">
        <w:t>y</w:t>
      </w:r>
    </w:p>
    <w:p w14:paraId="70EF76E4" w14:textId="77777777" w:rsidR="00CA4392" w:rsidRPr="00F847A6" w:rsidRDefault="00CA4392" w:rsidP="00AE30B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DB10489" w14:textId="77777777" w:rsidR="009303D9" w:rsidRPr="00D632BE" w:rsidRDefault="008105FF" w:rsidP="006B6B66">
      <w:pPr>
        <w:pStyle w:val="Heading1"/>
      </w:pPr>
      <w:r>
        <w:t>Introduction</w:t>
      </w:r>
    </w:p>
    <w:p w14:paraId="66C14D54" w14:textId="31430EE0" w:rsidR="00932CB1" w:rsidRDefault="00E97097" w:rsidP="00E97097">
      <w:pPr>
        <w:pStyle w:val="BodyText"/>
        <w:ind w:left="288" w:firstLine="0"/>
      </w:pPr>
      <w:r>
        <w:tab/>
      </w:r>
      <w:r w:rsidR="00BF3DCC">
        <w:t>The goal of this week’s project is to get familiar with Tableau by visualizing a dataset of our choice, and providing visuals that illustrate our findings within the dataset. We also needed to take into account lessons from this week on data visualization. I chose a dataset from the UN, covering population, surface area, and density data for different regions worldwide</w:t>
      </w:r>
      <w:r w:rsidR="00B34750">
        <w:t xml:space="preserve"> [1]</w:t>
      </w:r>
      <w:r w:rsidR="00BF3DCC">
        <w:t>.</w:t>
      </w:r>
    </w:p>
    <w:p w14:paraId="03AC46A3" w14:textId="77777777" w:rsidR="009303D9" w:rsidRDefault="009714C4" w:rsidP="006B6B66">
      <w:pPr>
        <w:pStyle w:val="Heading1"/>
      </w:pPr>
      <w:r>
        <w:t>Data</w:t>
      </w:r>
      <w:r w:rsidR="00035CF1">
        <w:t xml:space="preserve"> Description</w:t>
      </w:r>
    </w:p>
    <w:p w14:paraId="7125DC85" w14:textId="53664E28" w:rsidR="009D4324" w:rsidRDefault="00E97097" w:rsidP="00E97097">
      <w:pPr>
        <w:pStyle w:val="BodyText"/>
        <w:ind w:left="288" w:firstLine="0"/>
      </w:pPr>
      <w:r>
        <w:tab/>
      </w:r>
      <w:r w:rsidR="00BF3DCC">
        <w:t>The UN dataset is fairly simple. It has various columns covering population breakdowns, surface area, and population density. A full schema is given below in Table 1.</w:t>
      </w:r>
    </w:p>
    <w:p w14:paraId="438C0E0C" w14:textId="10739DD0" w:rsidR="00B830EF" w:rsidRPr="005B520E" w:rsidRDefault="00860180" w:rsidP="00B830EF">
      <w:pPr>
        <w:pStyle w:val="tablehead"/>
      </w:pPr>
      <w:r>
        <w:t>Data Attributes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75"/>
        <w:gridCol w:w="1980"/>
        <w:gridCol w:w="1440"/>
        <w:gridCol w:w="3330"/>
      </w:tblGrid>
      <w:tr w:rsidR="00B12D43" w14:paraId="2267193D" w14:textId="77777777" w:rsidTr="00EA25EC">
        <w:trPr>
          <w:cantSplit/>
          <w:trHeight w:val="240"/>
          <w:tblHeader/>
          <w:jc w:val="center"/>
        </w:trPr>
        <w:tc>
          <w:tcPr>
            <w:tcW w:w="2375" w:type="dxa"/>
            <w:vAlign w:val="center"/>
          </w:tcPr>
          <w:p w14:paraId="6F03ADF6" w14:textId="77777777" w:rsidR="00B12D43" w:rsidRDefault="00B12D43" w:rsidP="00AE10E1">
            <w:pPr>
              <w:pStyle w:val="tablecolhead"/>
            </w:pPr>
            <w:bookmarkStart w:id="0" w:name="_Hlk53294742"/>
            <w:r>
              <w:t>Attribute</w:t>
            </w:r>
          </w:p>
        </w:tc>
        <w:tc>
          <w:tcPr>
            <w:tcW w:w="1980" w:type="dxa"/>
            <w:vAlign w:val="center"/>
          </w:tcPr>
          <w:p w14:paraId="7B35B1C5" w14:textId="77777777" w:rsidR="00B12D43" w:rsidRDefault="00B12D43" w:rsidP="00AE10E1">
            <w:pPr>
              <w:pStyle w:val="tablecolhead"/>
            </w:pPr>
            <w:r>
              <w:t>Type</w:t>
            </w:r>
          </w:p>
        </w:tc>
        <w:tc>
          <w:tcPr>
            <w:tcW w:w="1440" w:type="dxa"/>
            <w:vAlign w:val="center"/>
          </w:tcPr>
          <w:p w14:paraId="55F1D910" w14:textId="03BB4A39" w:rsidR="00B12D43" w:rsidRDefault="00B12D43" w:rsidP="00AE10E1">
            <w:pPr>
              <w:pStyle w:val="tablecolhead"/>
            </w:pPr>
            <w:r>
              <w:t>Example Value</w:t>
            </w:r>
            <w:r w:rsidR="001B59CB">
              <w:t>(s)</w:t>
            </w:r>
          </w:p>
        </w:tc>
        <w:tc>
          <w:tcPr>
            <w:tcW w:w="3330" w:type="dxa"/>
            <w:vAlign w:val="center"/>
          </w:tcPr>
          <w:p w14:paraId="3A211673" w14:textId="591D5174" w:rsidR="00B12D43" w:rsidRDefault="00B12D43" w:rsidP="00B12D43">
            <w:pPr>
              <w:pStyle w:val="tablecolhead"/>
            </w:pPr>
            <w:r>
              <w:t>Descript</w:t>
            </w:r>
            <w:r w:rsidR="00A45834">
              <w:t>i</w:t>
            </w:r>
            <w:r>
              <w:t>on</w:t>
            </w:r>
          </w:p>
        </w:tc>
      </w:tr>
      <w:tr w:rsidR="00C875D9" w14:paraId="5F792441" w14:textId="77777777" w:rsidTr="00EA25EC">
        <w:trPr>
          <w:trHeight w:val="320"/>
          <w:jc w:val="center"/>
        </w:trPr>
        <w:tc>
          <w:tcPr>
            <w:tcW w:w="2375" w:type="dxa"/>
            <w:vAlign w:val="center"/>
          </w:tcPr>
          <w:p w14:paraId="5E450826" w14:textId="28137C14" w:rsidR="00C875D9" w:rsidRDefault="001B59CB" w:rsidP="00C875D9">
            <w:pPr>
              <w:pStyle w:val="tablecopy"/>
              <w:jc w:val="left"/>
            </w:pPr>
            <w:r>
              <w:t>Region</w:t>
            </w:r>
          </w:p>
        </w:tc>
        <w:tc>
          <w:tcPr>
            <w:tcW w:w="1980" w:type="dxa"/>
            <w:vAlign w:val="center"/>
          </w:tcPr>
          <w:p w14:paraId="195684CE" w14:textId="09E12006" w:rsidR="00C875D9" w:rsidRDefault="00C875D9" w:rsidP="00C875D9">
            <w:pPr>
              <w:pStyle w:val="tablecopy"/>
              <w:jc w:val="left"/>
            </w:pPr>
            <w:r>
              <w:t>Cateogorical</w:t>
            </w:r>
          </w:p>
        </w:tc>
        <w:tc>
          <w:tcPr>
            <w:tcW w:w="1440" w:type="dxa"/>
            <w:vAlign w:val="center"/>
          </w:tcPr>
          <w:p w14:paraId="27319500" w14:textId="4772E142" w:rsidR="00C875D9" w:rsidRDefault="001B59CB" w:rsidP="00C875D9">
            <w:pPr>
              <w:jc w:val="left"/>
              <w:rPr>
                <w:sz w:val="16"/>
                <w:szCs w:val="16"/>
              </w:rPr>
            </w:pPr>
            <w:r>
              <w:rPr>
                <w:sz w:val="16"/>
                <w:szCs w:val="16"/>
              </w:rPr>
              <w:t>China, Western Europe</w:t>
            </w:r>
          </w:p>
        </w:tc>
        <w:tc>
          <w:tcPr>
            <w:tcW w:w="3330" w:type="dxa"/>
            <w:vAlign w:val="center"/>
          </w:tcPr>
          <w:p w14:paraId="342DE363" w14:textId="58F4A428" w:rsidR="00C875D9" w:rsidRDefault="001B59CB" w:rsidP="00C875D9">
            <w:pPr>
              <w:jc w:val="left"/>
              <w:rPr>
                <w:sz w:val="16"/>
                <w:szCs w:val="16"/>
              </w:rPr>
            </w:pPr>
            <w:r>
              <w:rPr>
                <w:sz w:val="16"/>
                <w:szCs w:val="16"/>
              </w:rPr>
              <w:t>Geographic Region</w:t>
            </w:r>
          </w:p>
        </w:tc>
      </w:tr>
      <w:tr w:rsidR="00C875D9" w14:paraId="497346E5" w14:textId="77777777" w:rsidTr="00EA25EC">
        <w:trPr>
          <w:trHeight w:val="320"/>
          <w:jc w:val="center"/>
        </w:trPr>
        <w:tc>
          <w:tcPr>
            <w:tcW w:w="2375" w:type="dxa"/>
            <w:vAlign w:val="center"/>
          </w:tcPr>
          <w:p w14:paraId="4570C2E8" w14:textId="39EBDD1C" w:rsidR="00C875D9" w:rsidRDefault="001B59CB" w:rsidP="00C875D9">
            <w:pPr>
              <w:pStyle w:val="tablecopy"/>
              <w:jc w:val="left"/>
            </w:pPr>
            <w:r>
              <w:t>Year</w:t>
            </w:r>
          </w:p>
        </w:tc>
        <w:tc>
          <w:tcPr>
            <w:tcW w:w="1980" w:type="dxa"/>
            <w:vAlign w:val="center"/>
          </w:tcPr>
          <w:p w14:paraId="11F20A56" w14:textId="7708E858" w:rsidR="00C875D9" w:rsidRDefault="001B59CB" w:rsidP="00C875D9">
            <w:pPr>
              <w:pStyle w:val="tablecopy"/>
              <w:jc w:val="left"/>
            </w:pPr>
            <w:r>
              <w:t>Date</w:t>
            </w:r>
          </w:p>
        </w:tc>
        <w:tc>
          <w:tcPr>
            <w:tcW w:w="1440" w:type="dxa"/>
            <w:vAlign w:val="center"/>
          </w:tcPr>
          <w:p w14:paraId="0D8346BC" w14:textId="48DFECC4" w:rsidR="00C875D9" w:rsidRDefault="001B59CB" w:rsidP="00C875D9">
            <w:pPr>
              <w:jc w:val="left"/>
              <w:rPr>
                <w:sz w:val="16"/>
                <w:szCs w:val="16"/>
              </w:rPr>
            </w:pPr>
            <w:r>
              <w:rPr>
                <w:sz w:val="16"/>
                <w:szCs w:val="16"/>
              </w:rPr>
              <w:t>2011</w:t>
            </w:r>
          </w:p>
        </w:tc>
        <w:tc>
          <w:tcPr>
            <w:tcW w:w="3330" w:type="dxa"/>
            <w:vAlign w:val="center"/>
          </w:tcPr>
          <w:p w14:paraId="003D4456" w14:textId="601B5438" w:rsidR="00C875D9" w:rsidRDefault="001B59CB" w:rsidP="00C875D9">
            <w:pPr>
              <w:jc w:val="left"/>
              <w:rPr>
                <w:sz w:val="16"/>
                <w:szCs w:val="16"/>
              </w:rPr>
            </w:pPr>
            <w:r>
              <w:rPr>
                <w:sz w:val="16"/>
                <w:szCs w:val="16"/>
              </w:rPr>
              <w:t>Year</w:t>
            </w:r>
          </w:p>
        </w:tc>
      </w:tr>
      <w:tr w:rsidR="00C875D9" w14:paraId="15E6F3ED" w14:textId="77777777" w:rsidTr="00EA25EC">
        <w:trPr>
          <w:trHeight w:val="320"/>
          <w:jc w:val="center"/>
        </w:trPr>
        <w:tc>
          <w:tcPr>
            <w:tcW w:w="2375" w:type="dxa"/>
            <w:vAlign w:val="center"/>
          </w:tcPr>
          <w:p w14:paraId="6673AD1C" w14:textId="0A90D7ED" w:rsidR="00C875D9" w:rsidRDefault="001B59CB" w:rsidP="00C875D9">
            <w:pPr>
              <w:pStyle w:val="tablecopy"/>
              <w:jc w:val="left"/>
            </w:pPr>
            <w:r>
              <w:t>Series</w:t>
            </w:r>
          </w:p>
        </w:tc>
        <w:tc>
          <w:tcPr>
            <w:tcW w:w="1980" w:type="dxa"/>
            <w:vAlign w:val="center"/>
          </w:tcPr>
          <w:p w14:paraId="7EC5054D" w14:textId="54691D8B" w:rsidR="00C875D9" w:rsidRDefault="001B59CB" w:rsidP="00C875D9">
            <w:pPr>
              <w:pStyle w:val="tablecopy"/>
              <w:jc w:val="left"/>
            </w:pPr>
            <w:r>
              <w:t>Categorical</w:t>
            </w:r>
          </w:p>
        </w:tc>
        <w:tc>
          <w:tcPr>
            <w:tcW w:w="1440" w:type="dxa"/>
            <w:vAlign w:val="center"/>
          </w:tcPr>
          <w:p w14:paraId="67695E05" w14:textId="319CB78F" w:rsidR="00C875D9" w:rsidRDefault="001B59CB" w:rsidP="00C875D9">
            <w:pPr>
              <w:jc w:val="left"/>
              <w:rPr>
                <w:sz w:val="16"/>
                <w:szCs w:val="16"/>
              </w:rPr>
            </w:pPr>
            <w:r w:rsidRPr="001B59CB">
              <w:rPr>
                <w:sz w:val="16"/>
                <w:szCs w:val="16"/>
              </w:rPr>
              <w:t>Population mid-year estimates (millions)</w:t>
            </w:r>
          </w:p>
        </w:tc>
        <w:tc>
          <w:tcPr>
            <w:tcW w:w="3330" w:type="dxa"/>
            <w:vAlign w:val="center"/>
          </w:tcPr>
          <w:p w14:paraId="5048DA2E" w14:textId="6283F972" w:rsidR="00C875D9" w:rsidRDefault="001B59CB" w:rsidP="00C875D9">
            <w:pPr>
              <w:jc w:val="left"/>
              <w:rPr>
                <w:sz w:val="16"/>
                <w:szCs w:val="16"/>
              </w:rPr>
            </w:pPr>
            <w:r>
              <w:rPr>
                <w:sz w:val="16"/>
                <w:szCs w:val="16"/>
              </w:rPr>
              <w:t>Description of Data</w:t>
            </w:r>
          </w:p>
        </w:tc>
      </w:tr>
      <w:tr w:rsidR="00C875D9" w14:paraId="439FF654" w14:textId="77777777" w:rsidTr="00EA25EC">
        <w:trPr>
          <w:trHeight w:val="320"/>
          <w:jc w:val="center"/>
        </w:trPr>
        <w:tc>
          <w:tcPr>
            <w:tcW w:w="2375" w:type="dxa"/>
            <w:vAlign w:val="center"/>
          </w:tcPr>
          <w:p w14:paraId="58287D13" w14:textId="492AC55F" w:rsidR="00C875D9" w:rsidRDefault="001B59CB" w:rsidP="00C875D9">
            <w:pPr>
              <w:pStyle w:val="tablecopy"/>
              <w:jc w:val="left"/>
            </w:pPr>
            <w:r>
              <w:t>Value</w:t>
            </w:r>
          </w:p>
        </w:tc>
        <w:tc>
          <w:tcPr>
            <w:tcW w:w="1980" w:type="dxa"/>
            <w:vAlign w:val="center"/>
          </w:tcPr>
          <w:p w14:paraId="245321AA" w14:textId="72BE23EE" w:rsidR="00C875D9" w:rsidRDefault="001B59CB" w:rsidP="00C875D9">
            <w:pPr>
              <w:pStyle w:val="tablecopy"/>
              <w:jc w:val="left"/>
            </w:pPr>
            <w:r>
              <w:t>Numeric</w:t>
            </w:r>
          </w:p>
        </w:tc>
        <w:tc>
          <w:tcPr>
            <w:tcW w:w="1440" w:type="dxa"/>
            <w:vAlign w:val="center"/>
          </w:tcPr>
          <w:p w14:paraId="243F2F7B" w14:textId="140DAB43" w:rsidR="00C875D9" w:rsidRDefault="001B59CB" w:rsidP="00C875D9">
            <w:pPr>
              <w:jc w:val="left"/>
              <w:rPr>
                <w:sz w:val="16"/>
                <w:szCs w:val="16"/>
              </w:rPr>
            </w:pPr>
            <w:r>
              <w:rPr>
                <w:sz w:val="16"/>
                <w:szCs w:val="16"/>
              </w:rPr>
              <w:t>100</w:t>
            </w:r>
          </w:p>
        </w:tc>
        <w:tc>
          <w:tcPr>
            <w:tcW w:w="3330" w:type="dxa"/>
            <w:vAlign w:val="center"/>
          </w:tcPr>
          <w:p w14:paraId="270D486B" w14:textId="69D02553" w:rsidR="00C875D9" w:rsidRDefault="001B59CB" w:rsidP="00C875D9">
            <w:pPr>
              <w:jc w:val="left"/>
              <w:rPr>
                <w:sz w:val="16"/>
                <w:szCs w:val="16"/>
              </w:rPr>
            </w:pPr>
            <w:r>
              <w:rPr>
                <w:sz w:val="16"/>
                <w:szCs w:val="16"/>
              </w:rPr>
              <w:t>Value of Series</w:t>
            </w:r>
          </w:p>
        </w:tc>
      </w:tr>
      <w:tr w:rsidR="00C875D9" w14:paraId="7B6E469E" w14:textId="77777777" w:rsidTr="00EA25EC">
        <w:trPr>
          <w:trHeight w:val="320"/>
          <w:jc w:val="center"/>
        </w:trPr>
        <w:tc>
          <w:tcPr>
            <w:tcW w:w="2375" w:type="dxa"/>
            <w:vAlign w:val="center"/>
          </w:tcPr>
          <w:p w14:paraId="0514F0DE" w14:textId="33691121" w:rsidR="00C875D9" w:rsidRDefault="001B59CB" w:rsidP="00C875D9">
            <w:pPr>
              <w:pStyle w:val="tablecopy"/>
              <w:jc w:val="left"/>
            </w:pPr>
            <w:r>
              <w:t>Footnotes</w:t>
            </w:r>
          </w:p>
        </w:tc>
        <w:tc>
          <w:tcPr>
            <w:tcW w:w="1980" w:type="dxa"/>
            <w:vAlign w:val="center"/>
          </w:tcPr>
          <w:p w14:paraId="0F691D30" w14:textId="2F051A67" w:rsidR="00C875D9" w:rsidRDefault="001B59CB" w:rsidP="00C875D9">
            <w:pPr>
              <w:pStyle w:val="tablecopy"/>
              <w:jc w:val="left"/>
            </w:pPr>
            <w:r>
              <w:t>~</w:t>
            </w:r>
          </w:p>
        </w:tc>
        <w:tc>
          <w:tcPr>
            <w:tcW w:w="1440" w:type="dxa"/>
            <w:vAlign w:val="center"/>
          </w:tcPr>
          <w:p w14:paraId="4E91782E" w14:textId="385BD335" w:rsidR="00C875D9" w:rsidRDefault="001B59CB" w:rsidP="00C875D9">
            <w:pPr>
              <w:jc w:val="left"/>
              <w:rPr>
                <w:sz w:val="16"/>
                <w:szCs w:val="16"/>
              </w:rPr>
            </w:pPr>
            <w:r>
              <w:rPr>
                <w:sz w:val="16"/>
                <w:szCs w:val="16"/>
              </w:rPr>
              <w:t>~</w:t>
            </w:r>
          </w:p>
        </w:tc>
        <w:tc>
          <w:tcPr>
            <w:tcW w:w="3330" w:type="dxa"/>
            <w:vAlign w:val="center"/>
          </w:tcPr>
          <w:p w14:paraId="3DBC49F6" w14:textId="5C0AAB34" w:rsidR="00C875D9" w:rsidRDefault="001B59CB" w:rsidP="00C875D9">
            <w:pPr>
              <w:jc w:val="left"/>
              <w:rPr>
                <w:sz w:val="16"/>
                <w:szCs w:val="16"/>
              </w:rPr>
            </w:pPr>
            <w:r>
              <w:rPr>
                <w:sz w:val="16"/>
                <w:szCs w:val="16"/>
              </w:rPr>
              <w:t>Notes</w:t>
            </w:r>
          </w:p>
        </w:tc>
      </w:tr>
      <w:tr w:rsidR="00C875D9" w14:paraId="351FE590" w14:textId="77777777" w:rsidTr="00EA25EC">
        <w:trPr>
          <w:trHeight w:val="320"/>
          <w:jc w:val="center"/>
        </w:trPr>
        <w:tc>
          <w:tcPr>
            <w:tcW w:w="2375" w:type="dxa"/>
            <w:vAlign w:val="center"/>
          </w:tcPr>
          <w:p w14:paraId="4A794245" w14:textId="3578945F" w:rsidR="00C875D9" w:rsidRDefault="001B59CB" w:rsidP="00C875D9">
            <w:pPr>
              <w:pStyle w:val="tablecopy"/>
              <w:jc w:val="left"/>
            </w:pPr>
            <w:r>
              <w:t>Source</w:t>
            </w:r>
          </w:p>
        </w:tc>
        <w:tc>
          <w:tcPr>
            <w:tcW w:w="1980" w:type="dxa"/>
            <w:vAlign w:val="center"/>
          </w:tcPr>
          <w:p w14:paraId="28F02643" w14:textId="6675FCBE" w:rsidR="00C875D9" w:rsidRDefault="001B59CB" w:rsidP="00C875D9">
            <w:pPr>
              <w:pStyle w:val="tablecopy"/>
              <w:jc w:val="left"/>
            </w:pPr>
            <w:r>
              <w:t>~</w:t>
            </w:r>
          </w:p>
        </w:tc>
        <w:tc>
          <w:tcPr>
            <w:tcW w:w="1440" w:type="dxa"/>
            <w:vAlign w:val="center"/>
          </w:tcPr>
          <w:p w14:paraId="1FF89FF9" w14:textId="32B454C7" w:rsidR="00C875D9" w:rsidRDefault="001B59CB" w:rsidP="00C875D9">
            <w:pPr>
              <w:jc w:val="left"/>
              <w:rPr>
                <w:sz w:val="16"/>
                <w:szCs w:val="16"/>
              </w:rPr>
            </w:pPr>
            <w:r>
              <w:rPr>
                <w:sz w:val="16"/>
                <w:szCs w:val="16"/>
              </w:rPr>
              <w:t>~</w:t>
            </w:r>
          </w:p>
        </w:tc>
        <w:tc>
          <w:tcPr>
            <w:tcW w:w="3330" w:type="dxa"/>
            <w:vAlign w:val="center"/>
          </w:tcPr>
          <w:p w14:paraId="201DDFD0" w14:textId="1BE9CD51" w:rsidR="00C875D9" w:rsidRDefault="001B59CB" w:rsidP="00C875D9">
            <w:pPr>
              <w:jc w:val="left"/>
              <w:rPr>
                <w:sz w:val="16"/>
                <w:szCs w:val="16"/>
              </w:rPr>
            </w:pPr>
            <w:r>
              <w:rPr>
                <w:sz w:val="16"/>
                <w:szCs w:val="16"/>
              </w:rPr>
              <w:t>Data source</w:t>
            </w:r>
          </w:p>
        </w:tc>
      </w:tr>
      <w:bookmarkEnd w:id="0"/>
    </w:tbl>
    <w:p w14:paraId="6AB9DCF7" w14:textId="3BE8663C" w:rsidR="00720ECF" w:rsidRDefault="00720ECF" w:rsidP="00E7596C">
      <w:pPr>
        <w:pStyle w:val="BodyText"/>
      </w:pPr>
    </w:p>
    <w:p w14:paraId="0E175A2A" w14:textId="54307657" w:rsidR="0086154B" w:rsidRDefault="0086154B" w:rsidP="0086154B">
      <w:pPr>
        <w:pStyle w:val="Heading1"/>
      </w:pPr>
      <w:r>
        <w:t>Methodology</w:t>
      </w:r>
      <w:r w:rsidR="008530EF">
        <w:t xml:space="preserve"> and results</w:t>
      </w:r>
    </w:p>
    <w:p w14:paraId="1263A2F8" w14:textId="16D1345E" w:rsidR="009E5BC4" w:rsidRDefault="00E97097" w:rsidP="00E97097">
      <w:pPr>
        <w:pStyle w:val="BodyText"/>
        <w:ind w:left="288" w:firstLine="0"/>
      </w:pPr>
      <w:r>
        <w:tab/>
      </w:r>
      <w:r w:rsidR="001B59CB">
        <w:t xml:space="preserve">I chose a simple dataset in order to get more familiar with Tableau, but it was difficult to find one that provided a wide enough range of well formatted data to create quality visualizations. Because of this I explored a few datasets before settling on this one. I first looked through the data in a csv and added appropriate column headers as needed so that Tableau was able to correctly interpret the data. Then I looked through the series values and decided on things that may be interesting to see. </w:t>
      </w:r>
      <w:r w:rsidR="001A5BBC">
        <w:t>The first visualization I chose is the ‘Treemap’ of population density shown in Fig 1.</w:t>
      </w:r>
    </w:p>
    <w:p w14:paraId="18A26A7D" w14:textId="2CB09749" w:rsidR="004A6CE7" w:rsidRDefault="004A6CE7" w:rsidP="00D17CAF">
      <w:pPr>
        <w:pStyle w:val="BodyText"/>
        <w:ind w:firstLine="0"/>
        <w:jc w:val="center"/>
      </w:pPr>
      <w:r>
        <w:rPr>
          <w:noProof/>
        </w:rPr>
        <w:lastRenderedPageBreak/>
        <w:drawing>
          <wp:inline distT="0" distB="0" distL="0" distR="0" wp14:anchorId="5524BD4D" wp14:editId="73D7292B">
            <wp:extent cx="6335500" cy="3671857"/>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43889" cy="3792632"/>
                    </a:xfrm>
                    <a:prstGeom prst="rect">
                      <a:avLst/>
                    </a:prstGeom>
                  </pic:spPr>
                </pic:pic>
              </a:graphicData>
            </a:graphic>
          </wp:inline>
        </w:drawing>
      </w:r>
    </w:p>
    <w:p w14:paraId="0DA898C6" w14:textId="653575AD" w:rsidR="004A6CE7" w:rsidRDefault="004A6CE7" w:rsidP="009030A1">
      <w:pPr>
        <w:pStyle w:val="BodyText"/>
        <w:ind w:firstLine="0"/>
        <w:jc w:val="center"/>
        <w:rPr>
          <w:sz w:val="16"/>
          <w:szCs w:val="16"/>
        </w:rPr>
      </w:pPr>
      <w:r w:rsidRPr="00F7531C">
        <w:rPr>
          <w:sz w:val="16"/>
          <w:szCs w:val="16"/>
        </w:rPr>
        <w:t xml:space="preserve">Fig. 1 </w:t>
      </w:r>
      <w:r w:rsidR="00D17CAF">
        <w:rPr>
          <w:sz w:val="16"/>
          <w:szCs w:val="16"/>
        </w:rPr>
        <w:t>Population Density by Region</w:t>
      </w:r>
    </w:p>
    <w:p w14:paraId="74A5953F" w14:textId="77777777" w:rsidR="004A6CE7" w:rsidRDefault="004A6CE7" w:rsidP="004A6CE7">
      <w:pPr>
        <w:pStyle w:val="BodyText"/>
        <w:jc w:val="center"/>
      </w:pPr>
    </w:p>
    <w:p w14:paraId="0F24FB24" w14:textId="1C62091C" w:rsidR="00CE0CAF" w:rsidRDefault="00D17CAF" w:rsidP="00E97097">
      <w:pPr>
        <w:pStyle w:val="BodyText"/>
        <w:ind w:left="288" w:firstLine="0"/>
      </w:pPr>
      <w:r>
        <w:t xml:space="preserve">I chose this image because it a nice way to visualize the </w:t>
      </w:r>
      <w:r w:rsidR="00A44192">
        <w:t xml:space="preserve">differences in population density among the most and least dense countries. This visual would be best in an interactive setting, where one can hover over the smaller boxes to see what country they represent. </w:t>
      </w:r>
      <w:r w:rsidR="00CE0CAF">
        <w:t xml:space="preserve">Fig 2. uses size again to compare the surface areas of the regions. </w:t>
      </w:r>
    </w:p>
    <w:p w14:paraId="0C9264A2" w14:textId="07C83D0D" w:rsidR="004A6CE7" w:rsidRDefault="004A6CE7" w:rsidP="009030A1">
      <w:pPr>
        <w:pStyle w:val="BodyText"/>
        <w:ind w:firstLine="0"/>
        <w:jc w:val="center"/>
      </w:pPr>
      <w:r w:rsidRPr="0086154B">
        <w:rPr>
          <w:noProof/>
        </w:rPr>
        <w:drawing>
          <wp:inline distT="0" distB="0" distL="0" distR="0" wp14:anchorId="27DAC2D6" wp14:editId="518EB1FF">
            <wp:extent cx="3136900" cy="26199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6900" cy="2619949"/>
                    </a:xfrm>
                    <a:prstGeom prst="rect">
                      <a:avLst/>
                    </a:prstGeom>
                  </pic:spPr>
                </pic:pic>
              </a:graphicData>
            </a:graphic>
          </wp:inline>
        </w:drawing>
      </w:r>
    </w:p>
    <w:p w14:paraId="0FEC4AF4" w14:textId="2FDF876E" w:rsidR="004A6CE7" w:rsidRDefault="009030A1" w:rsidP="009030A1">
      <w:pPr>
        <w:pStyle w:val="BodyText"/>
        <w:ind w:firstLine="0"/>
        <w:jc w:val="center"/>
      </w:pPr>
      <w:r>
        <w:rPr>
          <w:sz w:val="16"/>
          <w:szCs w:val="16"/>
        </w:rPr>
        <w:t xml:space="preserve">Fig. 2 </w:t>
      </w:r>
      <w:r w:rsidR="00CE0CAF">
        <w:rPr>
          <w:sz w:val="16"/>
          <w:szCs w:val="16"/>
        </w:rPr>
        <w:t>Surface Area by Region</w:t>
      </w:r>
    </w:p>
    <w:p w14:paraId="1B931939" w14:textId="0E1BA001" w:rsidR="00F2512B" w:rsidRPr="00A72691" w:rsidRDefault="00C716FF" w:rsidP="004A6CE7">
      <w:pPr>
        <w:pStyle w:val="BodyText"/>
        <w:ind w:firstLine="0"/>
        <w:rPr>
          <w:sz w:val="16"/>
          <w:szCs w:val="16"/>
        </w:rPr>
      </w:pPr>
      <w:r>
        <w:rPr>
          <w:sz w:val="16"/>
          <w:szCs w:val="16"/>
        </w:rPr>
        <w:tab/>
      </w:r>
      <w:r>
        <w:rPr>
          <w:sz w:val="16"/>
          <w:szCs w:val="16"/>
        </w:rPr>
        <w:tab/>
      </w:r>
      <w:r>
        <w:rPr>
          <w:sz w:val="16"/>
          <w:szCs w:val="16"/>
        </w:rPr>
        <w:tab/>
      </w:r>
      <w:r>
        <w:rPr>
          <w:sz w:val="16"/>
          <w:szCs w:val="16"/>
        </w:rPr>
        <w:tab/>
      </w:r>
      <w:r>
        <w:rPr>
          <w:sz w:val="16"/>
          <w:szCs w:val="16"/>
        </w:rPr>
        <w:tab/>
        <w:t xml:space="preserve">           </w:t>
      </w:r>
    </w:p>
    <w:p w14:paraId="0361A64F" w14:textId="0E52DFD8" w:rsidR="009030A1" w:rsidRDefault="00CE0CAF" w:rsidP="00E97097">
      <w:pPr>
        <w:pStyle w:val="BodyText"/>
        <w:ind w:left="288" w:firstLine="0"/>
      </w:pPr>
      <w:r>
        <w:t xml:space="preserve">The first two visuals take advantage of comparative size to give the viewer an idea of what the values are relative to one another. This is very useful if any one value rings a bell. For </w:t>
      </w:r>
      <w:r w:rsidR="00653534">
        <w:t>example,</w:t>
      </w:r>
      <w:r>
        <w:t xml:space="preserve"> if we know the visual size of the United States on a map, and we have the packed bubble plot, we can gain a decent understanding of the surface area of other regions by using the USA as a reference. </w:t>
      </w:r>
      <w:proofErr w:type="gramStart"/>
      <w:r w:rsidR="00653534">
        <w:t>Next</w:t>
      </w:r>
      <w:proofErr w:type="gramEnd"/>
      <w:r w:rsidR="00653534">
        <w:t xml:space="preserve"> we have the sex ratio (men per 100 women),</w:t>
      </w:r>
      <w:r w:rsidR="00965720">
        <w:t xml:space="preserve"> shown via bar graph in Fig 3.</w:t>
      </w:r>
    </w:p>
    <w:p w14:paraId="5ED02DB4" w14:textId="77777777" w:rsidR="009030A1" w:rsidRDefault="009030A1" w:rsidP="009030A1">
      <w:pPr>
        <w:pStyle w:val="BodyText"/>
        <w:ind w:firstLine="0"/>
        <w:jc w:val="center"/>
      </w:pPr>
      <w:r>
        <w:rPr>
          <w:noProof/>
        </w:rPr>
        <w:lastRenderedPageBreak/>
        <w:drawing>
          <wp:inline distT="0" distB="0" distL="0" distR="0" wp14:anchorId="18325D9B" wp14:editId="0165314A">
            <wp:extent cx="6285539" cy="117319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b="80517"/>
                    <a:stretch/>
                  </pic:blipFill>
                  <pic:spPr bwMode="auto">
                    <a:xfrm>
                      <a:off x="0" y="0"/>
                      <a:ext cx="6368350" cy="1188649"/>
                    </a:xfrm>
                    <a:prstGeom prst="rect">
                      <a:avLst/>
                    </a:prstGeom>
                    <a:ln>
                      <a:noFill/>
                    </a:ln>
                    <a:extLst>
                      <a:ext uri="{53640926-AAD7-44D8-BBD7-CCE9431645EC}">
                        <a14:shadowObscured xmlns:a14="http://schemas.microsoft.com/office/drawing/2010/main"/>
                      </a:ext>
                    </a:extLst>
                  </pic:spPr>
                </pic:pic>
              </a:graphicData>
            </a:graphic>
          </wp:inline>
        </w:drawing>
      </w:r>
    </w:p>
    <w:p w14:paraId="73763093" w14:textId="4B013020" w:rsidR="009030A1" w:rsidRDefault="009030A1" w:rsidP="009030A1">
      <w:pPr>
        <w:pStyle w:val="BodyText"/>
        <w:ind w:firstLine="0"/>
        <w:jc w:val="center"/>
      </w:pPr>
      <w:r w:rsidRPr="00AB7344">
        <w:rPr>
          <w:sz w:val="16"/>
          <w:szCs w:val="16"/>
        </w:rPr>
        <w:t xml:space="preserve">Fig. 3 </w:t>
      </w:r>
      <w:r w:rsidR="00965720">
        <w:rPr>
          <w:sz w:val="16"/>
          <w:szCs w:val="16"/>
        </w:rPr>
        <w:t>Sex Ratio by Region</w:t>
      </w:r>
    </w:p>
    <w:p w14:paraId="315F8043" w14:textId="77777777" w:rsidR="009030A1" w:rsidRDefault="009030A1" w:rsidP="00E97097">
      <w:pPr>
        <w:pStyle w:val="BodyText"/>
        <w:ind w:left="288"/>
      </w:pPr>
    </w:p>
    <w:p w14:paraId="09EAA4D1" w14:textId="0E8890AC" w:rsidR="00C87A9F" w:rsidRDefault="00965720" w:rsidP="00E97097">
      <w:pPr>
        <w:pStyle w:val="BodyText"/>
        <w:ind w:left="288" w:firstLine="0"/>
      </w:pPr>
      <w:r>
        <w:t>This figure is terrible at this scale and if the goal here was to communicate the data effectively within the paper, then I would count this as a failure. I included the figure to point out its usefulness in detecting anomalous or extraordinary values. We see in the graph above a few little spikes that indicate that the number of men relative to the number of women is extremely high in these regions. Specifically, in Bahrain, Oman, the United Arab Emirates, and Qatar. The bar graph is a great way to immediately recognize large discrepancies in height among the values.</w:t>
      </w:r>
      <w:r w:rsidR="00C80EA6">
        <w:t xml:space="preserve"> Fig 4. takes advantage of visual ratios to show the percent of the population that is under 14 years old with the percent of the population that is above 60.</w:t>
      </w:r>
    </w:p>
    <w:p w14:paraId="280DA9D6" w14:textId="65479DE3" w:rsidR="00D21C3B" w:rsidRDefault="008D27BE" w:rsidP="009030A1">
      <w:pPr>
        <w:pStyle w:val="BodyText"/>
        <w:tabs>
          <w:tab w:val="clear" w:pos="288"/>
          <w:tab w:val="left" w:pos="0"/>
        </w:tabs>
        <w:ind w:firstLine="0"/>
        <w:jc w:val="center"/>
      </w:pPr>
      <w:r>
        <w:rPr>
          <w:noProof/>
        </w:rPr>
        <w:drawing>
          <wp:inline distT="0" distB="0" distL="0" distR="0" wp14:anchorId="4F108C11" wp14:editId="70719DE9">
            <wp:extent cx="6410960" cy="1062957"/>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1" cstate="print">
                      <a:extLst>
                        <a:ext uri="{28A0092B-C50C-407E-A947-70E740481C1C}">
                          <a14:useLocalDpi xmlns:a14="http://schemas.microsoft.com/office/drawing/2010/main" val="0"/>
                        </a:ext>
                      </a:extLst>
                    </a:blip>
                    <a:srcRect r="71320" b="-8"/>
                    <a:stretch/>
                  </pic:blipFill>
                  <pic:spPr bwMode="auto">
                    <a:xfrm>
                      <a:off x="0" y="0"/>
                      <a:ext cx="6650078" cy="1102603"/>
                    </a:xfrm>
                    <a:prstGeom prst="rect">
                      <a:avLst/>
                    </a:prstGeom>
                    <a:ln>
                      <a:noFill/>
                    </a:ln>
                    <a:extLst>
                      <a:ext uri="{53640926-AAD7-44D8-BBD7-CCE9431645EC}">
                        <a14:shadowObscured xmlns:a14="http://schemas.microsoft.com/office/drawing/2010/main"/>
                      </a:ext>
                    </a:extLst>
                  </pic:spPr>
                </pic:pic>
              </a:graphicData>
            </a:graphic>
          </wp:inline>
        </w:drawing>
      </w:r>
    </w:p>
    <w:p w14:paraId="4D4436DF" w14:textId="668D9768" w:rsidR="008D27BE" w:rsidRPr="008D27BE" w:rsidRDefault="002536A3" w:rsidP="009030A1">
      <w:pPr>
        <w:pStyle w:val="BodyText"/>
        <w:tabs>
          <w:tab w:val="clear" w:pos="288"/>
          <w:tab w:val="left" w:pos="0"/>
        </w:tabs>
        <w:ind w:firstLine="0"/>
        <w:jc w:val="center"/>
        <w:rPr>
          <w:sz w:val="16"/>
          <w:szCs w:val="16"/>
        </w:rPr>
      </w:pPr>
      <w:r>
        <w:rPr>
          <w:sz w:val="16"/>
          <w:szCs w:val="16"/>
        </w:rPr>
        <w:t xml:space="preserve">Fig. 4 </w:t>
      </w:r>
      <w:r w:rsidR="00C80EA6">
        <w:rPr>
          <w:sz w:val="16"/>
          <w:szCs w:val="16"/>
        </w:rPr>
        <w:t>Age 0-14 versus 60+</w:t>
      </w:r>
      <w:r w:rsidR="00B1293D">
        <w:rPr>
          <w:sz w:val="16"/>
          <w:szCs w:val="16"/>
        </w:rPr>
        <w:t xml:space="preserve"> in 2010</w:t>
      </w:r>
    </w:p>
    <w:p w14:paraId="2CC5113C" w14:textId="220E4DEA" w:rsidR="008D27BE" w:rsidRDefault="008D27BE" w:rsidP="00E97097">
      <w:pPr>
        <w:pStyle w:val="BodyText"/>
        <w:ind w:left="720" w:firstLine="0"/>
      </w:pPr>
    </w:p>
    <w:p w14:paraId="125DC61C" w14:textId="2783AD69" w:rsidR="008D27BE" w:rsidRDefault="00C80EA6" w:rsidP="00E97097">
      <w:pPr>
        <w:pStyle w:val="BodyText"/>
        <w:ind w:left="432" w:firstLine="0"/>
      </w:pPr>
      <w:r>
        <w:t xml:space="preserve">We have all heard about the problem that Japan has with a very high elderly population relative to the young population. The </w:t>
      </w:r>
      <w:r w:rsidR="00B1293D">
        <w:t xml:space="preserve">tallest light orange line that we see is Japan’s; 30% of the population is above 60 years old, and 13% is 14 and under, meaning that nearly half of the population is outside of working age. Interestingly, Niger has 50% of the population between 0 and 14, with only 4% over 60. I believe that this is the highest ration of young to older people in the group. It is also important to note that because this graph is of percentages, a lower sum of the blue and orange region indicates a larger ‘middle aged’ population, meaning that Qatar has the most </w:t>
      </w:r>
      <w:r w:rsidR="00487895">
        <w:t>middle-aged population, and the highest ratio of male to females. Finally, we have a simple line chart in Fig 5. that shows the increase in total population over time.</w:t>
      </w:r>
    </w:p>
    <w:p w14:paraId="44F71019" w14:textId="77777777" w:rsidR="008D27BE" w:rsidRDefault="008D27BE" w:rsidP="0044219B">
      <w:pPr>
        <w:pStyle w:val="BodyText"/>
        <w:ind w:left="288" w:firstLine="0"/>
        <w:rPr>
          <w:noProof/>
          <w:sz w:val="24"/>
          <w:szCs w:val="24"/>
        </w:rPr>
      </w:pPr>
    </w:p>
    <w:p w14:paraId="54EFA3A3" w14:textId="543A0BCB" w:rsidR="008D27BE" w:rsidRDefault="008D27BE" w:rsidP="008D27BE">
      <w:pPr>
        <w:pStyle w:val="BodyText"/>
        <w:ind w:left="288" w:firstLine="0"/>
        <w:jc w:val="center"/>
        <w:rPr>
          <w:sz w:val="24"/>
          <w:szCs w:val="24"/>
        </w:rPr>
      </w:pPr>
      <w:r>
        <w:rPr>
          <w:noProof/>
          <w:sz w:val="24"/>
          <w:szCs w:val="24"/>
        </w:rPr>
        <w:drawing>
          <wp:inline distT="0" distB="0" distL="0" distR="0" wp14:anchorId="5A8D3448" wp14:editId="70F35486">
            <wp:extent cx="2709115" cy="23908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l="16446" r="16446"/>
                    <a:stretch>
                      <a:fillRect/>
                    </a:stretch>
                  </pic:blipFill>
                  <pic:spPr bwMode="auto">
                    <a:xfrm>
                      <a:off x="0" y="0"/>
                      <a:ext cx="2795032" cy="2466687"/>
                    </a:xfrm>
                    <a:prstGeom prst="rect">
                      <a:avLst/>
                    </a:prstGeom>
                    <a:noFill/>
                    <a:ln>
                      <a:noFill/>
                    </a:ln>
                    <a:extLst>
                      <a:ext uri="{53640926-AAD7-44D8-BBD7-CCE9431645EC}">
                        <a14:shadowObscured xmlns:a14="http://schemas.microsoft.com/office/drawing/2010/main"/>
                      </a:ext>
                    </a:extLst>
                  </pic:spPr>
                </pic:pic>
              </a:graphicData>
            </a:graphic>
          </wp:inline>
        </w:drawing>
      </w:r>
    </w:p>
    <w:p w14:paraId="51E35764" w14:textId="049DC370" w:rsidR="008D27BE" w:rsidRDefault="008D27BE" w:rsidP="00ED132E">
      <w:pPr>
        <w:pStyle w:val="BodyText"/>
        <w:ind w:left="288" w:firstLine="0"/>
        <w:jc w:val="center"/>
        <w:rPr>
          <w:sz w:val="16"/>
          <w:szCs w:val="16"/>
        </w:rPr>
      </w:pPr>
      <w:r w:rsidRPr="008D27BE">
        <w:rPr>
          <w:sz w:val="16"/>
          <w:szCs w:val="16"/>
        </w:rPr>
        <w:t xml:space="preserve">Fig. 5 </w:t>
      </w:r>
      <w:r w:rsidR="00487895">
        <w:rPr>
          <w:sz w:val="16"/>
          <w:szCs w:val="16"/>
        </w:rPr>
        <w:t xml:space="preserve">Total Population from 2010 - </w:t>
      </w:r>
      <w:r w:rsidR="00E97097">
        <w:rPr>
          <w:sz w:val="16"/>
          <w:szCs w:val="16"/>
        </w:rPr>
        <w:t>2021</w:t>
      </w:r>
    </w:p>
    <w:p w14:paraId="335F4A79" w14:textId="77777777" w:rsidR="00E97097" w:rsidRDefault="00E97097" w:rsidP="00ED132E">
      <w:pPr>
        <w:pStyle w:val="BodyText"/>
        <w:ind w:left="288" w:firstLine="0"/>
        <w:jc w:val="center"/>
        <w:rPr>
          <w:sz w:val="16"/>
          <w:szCs w:val="16"/>
        </w:rPr>
      </w:pPr>
    </w:p>
    <w:p w14:paraId="10BE613E" w14:textId="4ADD576C" w:rsidR="008D27BE" w:rsidRPr="00EF0B92" w:rsidRDefault="00E97097" w:rsidP="00EF0B92">
      <w:pPr>
        <w:pStyle w:val="BodyText"/>
        <w:ind w:left="288" w:firstLine="0"/>
      </w:pPr>
      <w:r>
        <w:lastRenderedPageBreak/>
        <w:t>The simple line graph shows that worldwide population is increasing. In 2010 it was just under 7 billion, and in 2021 it was just unde</w:t>
      </w:r>
      <w:r w:rsidR="00EF0B92">
        <w:t>r 8 billion. We might be able to estimate from this graph that we gain about 1 billion total individuals per decade, putting us at ~10 billion by 2040.</w:t>
      </w:r>
    </w:p>
    <w:p w14:paraId="635542CA" w14:textId="6238C005" w:rsidR="00831345" w:rsidRDefault="007B1F6D" w:rsidP="007B1F6D">
      <w:pPr>
        <w:pStyle w:val="Heading1"/>
      </w:pPr>
      <w:r>
        <w:t>Discussion</w:t>
      </w:r>
    </w:p>
    <w:p w14:paraId="2017407E" w14:textId="77777777" w:rsidR="0086154B" w:rsidRDefault="0086154B" w:rsidP="00F767F0">
      <w:pPr>
        <w:ind w:left="288" w:firstLine="432"/>
        <w:jc w:val="both"/>
      </w:pPr>
    </w:p>
    <w:p w14:paraId="5124FCE7" w14:textId="07868D14" w:rsidR="00F57F99" w:rsidRDefault="00EF0B92" w:rsidP="0044219B">
      <w:pPr>
        <w:pStyle w:val="BodyText"/>
        <w:ind w:left="288"/>
        <w:jc w:val="left"/>
      </w:pPr>
      <w:r>
        <w:t xml:space="preserve">The emergent trend that I noticed within my own work was my tendency to prefer charts that were comparative. When viewing something that can only truly be understood </w:t>
      </w:r>
      <w:r w:rsidR="00B34750">
        <w:t>or comprehended by comparison, it is much easier and more efficient to compare size. This was very true for population metrics and surface area. For more complex or detailed geographic data, combining color with a map would be a good way to display the data in its actual geographic region.</w:t>
      </w:r>
    </w:p>
    <w:p w14:paraId="4FDEE539" w14:textId="5A4E9418" w:rsidR="00B34750" w:rsidRDefault="00B34750" w:rsidP="0044219B">
      <w:pPr>
        <w:pStyle w:val="BodyText"/>
        <w:ind w:left="288"/>
        <w:jc w:val="left"/>
      </w:pPr>
      <w:r>
        <w:t xml:space="preserve">Working through this report also forced me to reflect on the lack of experience that I have with visualizations; I have only used very basic representations to communicate data in the past, and I do not think that I would have realized that without having taking this course. </w:t>
      </w:r>
    </w:p>
    <w:p w14:paraId="60358E8D" w14:textId="77777777" w:rsidR="00DF2EE5" w:rsidRDefault="00DF2EE5" w:rsidP="00DF2EE5">
      <w:pPr>
        <w:pStyle w:val="Heading1"/>
      </w:pPr>
      <w:r>
        <w:t>Conclusions</w:t>
      </w:r>
    </w:p>
    <w:p w14:paraId="3FCF1EC2" w14:textId="447CBF78" w:rsidR="008530EF" w:rsidRDefault="00B34750" w:rsidP="008530EF">
      <w:pPr>
        <w:pStyle w:val="BodyText"/>
        <w:jc w:val="left"/>
      </w:pPr>
      <w:r>
        <w:t>In this report we used some very simple visualizations to gain insight into regional population and surface area data. The visualizations were effective, but not necessarily robust in methodology. I am looking forward to understanding and exploring more visualization concepts.</w:t>
      </w:r>
    </w:p>
    <w:p w14:paraId="5CCE8808" w14:textId="77777777" w:rsidR="009303D9" w:rsidRDefault="009303D9" w:rsidP="00A059B3">
      <w:pPr>
        <w:pStyle w:val="Heading5"/>
      </w:pPr>
      <w:r w:rsidRPr="005B520E">
        <w:t>References</w:t>
      </w:r>
    </w:p>
    <w:p w14:paraId="3B38A703" w14:textId="77BC4EEB" w:rsidR="00DB594B" w:rsidRDefault="00B14136" w:rsidP="00793DD2">
      <w:pPr>
        <w:jc w:val="both"/>
      </w:pPr>
      <w:r w:rsidRPr="009E14EC">
        <w:t xml:space="preserve">[1] </w:t>
      </w:r>
      <w:r w:rsidR="009E14EC" w:rsidRPr="009E14EC">
        <w:t>“</w:t>
      </w:r>
      <w:r w:rsidR="002946AC">
        <w:t>Population, Surface Area and Density</w:t>
      </w:r>
      <w:r w:rsidR="009E14EC" w:rsidRPr="009E14EC">
        <w:t xml:space="preserve">,” </w:t>
      </w:r>
      <w:r w:rsidR="002946AC">
        <w:t xml:space="preserve">UN Data. </w:t>
      </w:r>
      <w:r w:rsidR="009E14EC" w:rsidRPr="009E14EC">
        <w:t xml:space="preserve">[Online]. Available: </w:t>
      </w:r>
      <w:r w:rsidR="00DB594B" w:rsidRPr="00DB594B">
        <w:t>http://data.un.org/_Docs/SYB/CSV/SYB64_1_202110_</w:t>
      </w:r>
    </w:p>
    <w:p w14:paraId="752AB69E" w14:textId="5D770CF3" w:rsidR="0034720B" w:rsidRPr="00B34750" w:rsidRDefault="002946AC" w:rsidP="00793DD2">
      <w:pPr>
        <w:jc w:val="both"/>
      </w:pPr>
      <w:r w:rsidRPr="002946AC">
        <w:t>Population,%20Surface%20Area%20and%20Density.csv</w:t>
      </w:r>
      <w:r w:rsidR="009E14EC" w:rsidRPr="009E14EC">
        <w:t xml:space="preserve">. </w:t>
      </w:r>
    </w:p>
    <w:sectPr w:rsidR="0034720B" w:rsidRPr="00B34750" w:rsidSect="00F6228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EC842" w14:textId="77777777" w:rsidR="008E39F7" w:rsidRDefault="008E39F7" w:rsidP="001A3B3D">
      <w:r>
        <w:separator/>
      </w:r>
    </w:p>
  </w:endnote>
  <w:endnote w:type="continuationSeparator" w:id="0">
    <w:p w14:paraId="3DF07216" w14:textId="77777777" w:rsidR="008E39F7" w:rsidRDefault="008E39F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E3A66" w14:textId="77777777" w:rsidR="008E39F7" w:rsidRDefault="008E39F7" w:rsidP="001A3B3D">
      <w:r>
        <w:separator/>
      </w:r>
    </w:p>
  </w:footnote>
  <w:footnote w:type="continuationSeparator" w:id="0">
    <w:p w14:paraId="72318524" w14:textId="77777777" w:rsidR="008E39F7" w:rsidRDefault="008E39F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E3211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D417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F52088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1AF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706D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C470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B4A27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CF2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4364C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668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E91C71"/>
    <w:multiLevelType w:val="hybridMultilevel"/>
    <w:tmpl w:val="B25AC822"/>
    <w:lvl w:ilvl="0" w:tplc="BDFC0D4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B155F00"/>
    <w:multiLevelType w:val="hybridMultilevel"/>
    <w:tmpl w:val="A1C8EE5C"/>
    <w:lvl w:ilvl="0" w:tplc="CE8C7A0A">
      <w:start w:val="1"/>
      <w:numFmt w:val="bullet"/>
      <w:lvlText w:val="•"/>
      <w:lvlJc w:val="left"/>
      <w:pPr>
        <w:tabs>
          <w:tab w:val="num" w:pos="720"/>
        </w:tabs>
        <w:ind w:left="720" w:hanging="360"/>
      </w:pPr>
      <w:rPr>
        <w:rFonts w:ascii="Arial" w:hAnsi="Arial" w:hint="default"/>
      </w:rPr>
    </w:lvl>
    <w:lvl w:ilvl="1" w:tplc="4F50138E" w:tentative="1">
      <w:start w:val="1"/>
      <w:numFmt w:val="bullet"/>
      <w:lvlText w:val="•"/>
      <w:lvlJc w:val="left"/>
      <w:pPr>
        <w:tabs>
          <w:tab w:val="num" w:pos="1440"/>
        </w:tabs>
        <w:ind w:left="1440" w:hanging="360"/>
      </w:pPr>
      <w:rPr>
        <w:rFonts w:ascii="Arial" w:hAnsi="Arial" w:hint="default"/>
      </w:rPr>
    </w:lvl>
    <w:lvl w:ilvl="2" w:tplc="7004ABAE" w:tentative="1">
      <w:start w:val="1"/>
      <w:numFmt w:val="bullet"/>
      <w:lvlText w:val="•"/>
      <w:lvlJc w:val="left"/>
      <w:pPr>
        <w:tabs>
          <w:tab w:val="num" w:pos="2160"/>
        </w:tabs>
        <w:ind w:left="2160" w:hanging="360"/>
      </w:pPr>
      <w:rPr>
        <w:rFonts w:ascii="Arial" w:hAnsi="Arial" w:hint="default"/>
      </w:rPr>
    </w:lvl>
    <w:lvl w:ilvl="3" w:tplc="A5D676C6" w:tentative="1">
      <w:start w:val="1"/>
      <w:numFmt w:val="bullet"/>
      <w:lvlText w:val="•"/>
      <w:lvlJc w:val="left"/>
      <w:pPr>
        <w:tabs>
          <w:tab w:val="num" w:pos="2880"/>
        </w:tabs>
        <w:ind w:left="2880" w:hanging="360"/>
      </w:pPr>
      <w:rPr>
        <w:rFonts w:ascii="Arial" w:hAnsi="Arial" w:hint="default"/>
      </w:rPr>
    </w:lvl>
    <w:lvl w:ilvl="4" w:tplc="F07A12C6" w:tentative="1">
      <w:start w:val="1"/>
      <w:numFmt w:val="bullet"/>
      <w:lvlText w:val="•"/>
      <w:lvlJc w:val="left"/>
      <w:pPr>
        <w:tabs>
          <w:tab w:val="num" w:pos="3600"/>
        </w:tabs>
        <w:ind w:left="3600" w:hanging="360"/>
      </w:pPr>
      <w:rPr>
        <w:rFonts w:ascii="Arial" w:hAnsi="Arial" w:hint="default"/>
      </w:rPr>
    </w:lvl>
    <w:lvl w:ilvl="5" w:tplc="ABF69386" w:tentative="1">
      <w:start w:val="1"/>
      <w:numFmt w:val="bullet"/>
      <w:lvlText w:val="•"/>
      <w:lvlJc w:val="left"/>
      <w:pPr>
        <w:tabs>
          <w:tab w:val="num" w:pos="4320"/>
        </w:tabs>
        <w:ind w:left="4320" w:hanging="360"/>
      </w:pPr>
      <w:rPr>
        <w:rFonts w:ascii="Arial" w:hAnsi="Arial" w:hint="default"/>
      </w:rPr>
    </w:lvl>
    <w:lvl w:ilvl="6" w:tplc="E090824C" w:tentative="1">
      <w:start w:val="1"/>
      <w:numFmt w:val="bullet"/>
      <w:lvlText w:val="•"/>
      <w:lvlJc w:val="left"/>
      <w:pPr>
        <w:tabs>
          <w:tab w:val="num" w:pos="5040"/>
        </w:tabs>
        <w:ind w:left="5040" w:hanging="360"/>
      </w:pPr>
      <w:rPr>
        <w:rFonts w:ascii="Arial" w:hAnsi="Arial" w:hint="default"/>
      </w:rPr>
    </w:lvl>
    <w:lvl w:ilvl="7" w:tplc="2A16DCE8" w:tentative="1">
      <w:start w:val="1"/>
      <w:numFmt w:val="bullet"/>
      <w:lvlText w:val="•"/>
      <w:lvlJc w:val="left"/>
      <w:pPr>
        <w:tabs>
          <w:tab w:val="num" w:pos="5760"/>
        </w:tabs>
        <w:ind w:left="5760" w:hanging="360"/>
      </w:pPr>
      <w:rPr>
        <w:rFonts w:ascii="Arial" w:hAnsi="Arial" w:hint="default"/>
      </w:rPr>
    </w:lvl>
    <w:lvl w:ilvl="8" w:tplc="2F4CC6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89603E"/>
    <w:multiLevelType w:val="multilevel"/>
    <w:tmpl w:val="4ADA173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b w:val="0"/>
        <w:bCs w:val="0"/>
        <w:i/>
        <w:iCs/>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6D052D"/>
    <w:multiLevelType w:val="multilevel"/>
    <w:tmpl w:val="6EA2A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B63F9"/>
    <w:multiLevelType w:val="hybridMultilevel"/>
    <w:tmpl w:val="32D0A504"/>
    <w:lvl w:ilvl="0" w:tplc="0902F802">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64263124">
    <w:abstractNumId w:val="15"/>
  </w:num>
  <w:num w:numId="2" w16cid:durableId="1825126449">
    <w:abstractNumId w:val="23"/>
  </w:num>
  <w:num w:numId="3" w16cid:durableId="2065445792">
    <w:abstractNumId w:val="14"/>
  </w:num>
  <w:num w:numId="4" w16cid:durableId="1530609415">
    <w:abstractNumId w:val="18"/>
  </w:num>
  <w:num w:numId="5" w16cid:durableId="203560351">
    <w:abstractNumId w:val="18"/>
  </w:num>
  <w:num w:numId="6" w16cid:durableId="695815222">
    <w:abstractNumId w:val="18"/>
  </w:num>
  <w:num w:numId="7" w16cid:durableId="1984969021">
    <w:abstractNumId w:val="18"/>
  </w:num>
  <w:num w:numId="8" w16cid:durableId="1291934257">
    <w:abstractNumId w:val="22"/>
  </w:num>
  <w:num w:numId="9" w16cid:durableId="1477335600">
    <w:abstractNumId w:val="24"/>
  </w:num>
  <w:num w:numId="10" w16cid:durableId="964315136">
    <w:abstractNumId w:val="16"/>
  </w:num>
  <w:num w:numId="11" w16cid:durableId="865290141">
    <w:abstractNumId w:val="13"/>
  </w:num>
  <w:num w:numId="12" w16cid:durableId="328875954">
    <w:abstractNumId w:val="12"/>
  </w:num>
  <w:num w:numId="13" w16cid:durableId="444932149">
    <w:abstractNumId w:val="0"/>
  </w:num>
  <w:num w:numId="14" w16cid:durableId="1005209155">
    <w:abstractNumId w:val="10"/>
  </w:num>
  <w:num w:numId="15" w16cid:durableId="406614022">
    <w:abstractNumId w:val="8"/>
  </w:num>
  <w:num w:numId="16" w16cid:durableId="343938684">
    <w:abstractNumId w:val="7"/>
  </w:num>
  <w:num w:numId="17" w16cid:durableId="1840072900">
    <w:abstractNumId w:val="6"/>
  </w:num>
  <w:num w:numId="18" w16cid:durableId="1047028047">
    <w:abstractNumId w:val="5"/>
  </w:num>
  <w:num w:numId="19" w16cid:durableId="1010566711">
    <w:abstractNumId w:val="9"/>
  </w:num>
  <w:num w:numId="20" w16cid:durableId="1876386086">
    <w:abstractNumId w:val="4"/>
  </w:num>
  <w:num w:numId="21" w16cid:durableId="457069025">
    <w:abstractNumId w:val="3"/>
  </w:num>
  <w:num w:numId="22" w16cid:durableId="336926022">
    <w:abstractNumId w:val="2"/>
  </w:num>
  <w:num w:numId="23" w16cid:durableId="616647348">
    <w:abstractNumId w:val="1"/>
  </w:num>
  <w:num w:numId="24" w16cid:durableId="891767839">
    <w:abstractNumId w:val="20"/>
  </w:num>
  <w:num w:numId="25" w16cid:durableId="1011952813">
    <w:abstractNumId w:val="21"/>
  </w:num>
  <w:num w:numId="26" w16cid:durableId="818962353">
    <w:abstractNumId w:val="11"/>
  </w:num>
  <w:num w:numId="27" w16cid:durableId="718240100">
    <w:abstractNumId w:val="19"/>
  </w:num>
  <w:num w:numId="28" w16cid:durableId="20149926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84E"/>
    <w:rsid w:val="0003063C"/>
    <w:rsid w:val="00035CF1"/>
    <w:rsid w:val="0004781E"/>
    <w:rsid w:val="00052442"/>
    <w:rsid w:val="00066A0A"/>
    <w:rsid w:val="000672B4"/>
    <w:rsid w:val="00076292"/>
    <w:rsid w:val="00076F4C"/>
    <w:rsid w:val="0008758A"/>
    <w:rsid w:val="0009008A"/>
    <w:rsid w:val="0009492D"/>
    <w:rsid w:val="000B3C05"/>
    <w:rsid w:val="000B7151"/>
    <w:rsid w:val="000C1E68"/>
    <w:rsid w:val="000D4F5B"/>
    <w:rsid w:val="000D578D"/>
    <w:rsid w:val="00144A57"/>
    <w:rsid w:val="00163704"/>
    <w:rsid w:val="001641AC"/>
    <w:rsid w:val="001708EB"/>
    <w:rsid w:val="00172F24"/>
    <w:rsid w:val="001748E1"/>
    <w:rsid w:val="00176558"/>
    <w:rsid w:val="0018463A"/>
    <w:rsid w:val="001A2EFD"/>
    <w:rsid w:val="001A3B3D"/>
    <w:rsid w:val="001A42EA"/>
    <w:rsid w:val="001A5BBC"/>
    <w:rsid w:val="001B59CB"/>
    <w:rsid w:val="001B67DC"/>
    <w:rsid w:val="001D7BCF"/>
    <w:rsid w:val="001E7D08"/>
    <w:rsid w:val="001F4F2C"/>
    <w:rsid w:val="00202FED"/>
    <w:rsid w:val="002254A9"/>
    <w:rsid w:val="00233D97"/>
    <w:rsid w:val="002423BA"/>
    <w:rsid w:val="00242FB7"/>
    <w:rsid w:val="00246BAB"/>
    <w:rsid w:val="002536A3"/>
    <w:rsid w:val="00254876"/>
    <w:rsid w:val="0026185F"/>
    <w:rsid w:val="002850E3"/>
    <w:rsid w:val="002946AC"/>
    <w:rsid w:val="0029736A"/>
    <w:rsid w:val="002B6EDC"/>
    <w:rsid w:val="002E1EC7"/>
    <w:rsid w:val="00301BE1"/>
    <w:rsid w:val="0032141A"/>
    <w:rsid w:val="003441AE"/>
    <w:rsid w:val="0034720B"/>
    <w:rsid w:val="00354FCF"/>
    <w:rsid w:val="003A19E2"/>
    <w:rsid w:val="004234A7"/>
    <w:rsid w:val="004325FB"/>
    <w:rsid w:val="0044219B"/>
    <w:rsid w:val="004432BA"/>
    <w:rsid w:val="0044407E"/>
    <w:rsid w:val="004575A6"/>
    <w:rsid w:val="00462458"/>
    <w:rsid w:val="00475469"/>
    <w:rsid w:val="0048412B"/>
    <w:rsid w:val="004857F3"/>
    <w:rsid w:val="00487895"/>
    <w:rsid w:val="004A6CE7"/>
    <w:rsid w:val="004C62A5"/>
    <w:rsid w:val="004D72B5"/>
    <w:rsid w:val="004E7C70"/>
    <w:rsid w:val="00510A26"/>
    <w:rsid w:val="00516BF1"/>
    <w:rsid w:val="00540F65"/>
    <w:rsid w:val="00550B34"/>
    <w:rsid w:val="00551B7F"/>
    <w:rsid w:val="0055391F"/>
    <w:rsid w:val="005561EA"/>
    <w:rsid w:val="0056610F"/>
    <w:rsid w:val="00574CD0"/>
    <w:rsid w:val="00575BCA"/>
    <w:rsid w:val="00583060"/>
    <w:rsid w:val="005909D3"/>
    <w:rsid w:val="005B0344"/>
    <w:rsid w:val="005B520E"/>
    <w:rsid w:val="005C6995"/>
    <w:rsid w:val="005E2800"/>
    <w:rsid w:val="005E63FC"/>
    <w:rsid w:val="005F2862"/>
    <w:rsid w:val="006243FB"/>
    <w:rsid w:val="006363B1"/>
    <w:rsid w:val="00645D22"/>
    <w:rsid w:val="00647F31"/>
    <w:rsid w:val="0065135A"/>
    <w:rsid w:val="00651A08"/>
    <w:rsid w:val="00653534"/>
    <w:rsid w:val="00654204"/>
    <w:rsid w:val="00663187"/>
    <w:rsid w:val="00670434"/>
    <w:rsid w:val="00675E0D"/>
    <w:rsid w:val="0068401B"/>
    <w:rsid w:val="006A3C19"/>
    <w:rsid w:val="006B3BC7"/>
    <w:rsid w:val="006B6B66"/>
    <w:rsid w:val="006B791F"/>
    <w:rsid w:val="006C2B1E"/>
    <w:rsid w:val="006F6D3D"/>
    <w:rsid w:val="006F7960"/>
    <w:rsid w:val="00715BEA"/>
    <w:rsid w:val="00720ECF"/>
    <w:rsid w:val="00723133"/>
    <w:rsid w:val="00724A1A"/>
    <w:rsid w:val="00727A25"/>
    <w:rsid w:val="00730B0E"/>
    <w:rsid w:val="007354D1"/>
    <w:rsid w:val="00736F1F"/>
    <w:rsid w:val="00740EEA"/>
    <w:rsid w:val="007474AC"/>
    <w:rsid w:val="00757400"/>
    <w:rsid w:val="00767D51"/>
    <w:rsid w:val="0078189D"/>
    <w:rsid w:val="00793DD2"/>
    <w:rsid w:val="00794804"/>
    <w:rsid w:val="007A0C52"/>
    <w:rsid w:val="007A5722"/>
    <w:rsid w:val="007B1F6D"/>
    <w:rsid w:val="007B21FD"/>
    <w:rsid w:val="007B33F1"/>
    <w:rsid w:val="007B74AE"/>
    <w:rsid w:val="007C0308"/>
    <w:rsid w:val="007C2FF2"/>
    <w:rsid w:val="007D6232"/>
    <w:rsid w:val="007E1907"/>
    <w:rsid w:val="007F1F99"/>
    <w:rsid w:val="007F768F"/>
    <w:rsid w:val="0080791D"/>
    <w:rsid w:val="008105FF"/>
    <w:rsid w:val="00831224"/>
    <w:rsid w:val="00831345"/>
    <w:rsid w:val="008315E5"/>
    <w:rsid w:val="0084003B"/>
    <w:rsid w:val="008530EF"/>
    <w:rsid w:val="00860180"/>
    <w:rsid w:val="0086154B"/>
    <w:rsid w:val="00873603"/>
    <w:rsid w:val="008A2C7D"/>
    <w:rsid w:val="008A7D65"/>
    <w:rsid w:val="008B0D5A"/>
    <w:rsid w:val="008C4B23"/>
    <w:rsid w:val="008D27BE"/>
    <w:rsid w:val="008E39F7"/>
    <w:rsid w:val="008E7103"/>
    <w:rsid w:val="008F6E2C"/>
    <w:rsid w:val="009030A1"/>
    <w:rsid w:val="009034B3"/>
    <w:rsid w:val="009303D9"/>
    <w:rsid w:val="009304FF"/>
    <w:rsid w:val="00932CB1"/>
    <w:rsid w:val="00933C64"/>
    <w:rsid w:val="009451FB"/>
    <w:rsid w:val="00965720"/>
    <w:rsid w:val="00967648"/>
    <w:rsid w:val="009714C4"/>
    <w:rsid w:val="00972203"/>
    <w:rsid w:val="0099019F"/>
    <w:rsid w:val="00993865"/>
    <w:rsid w:val="009B5121"/>
    <w:rsid w:val="009B63F2"/>
    <w:rsid w:val="009C5E30"/>
    <w:rsid w:val="009C7D58"/>
    <w:rsid w:val="009D1273"/>
    <w:rsid w:val="009D25C0"/>
    <w:rsid w:val="009D4324"/>
    <w:rsid w:val="009E14EC"/>
    <w:rsid w:val="009E5BC4"/>
    <w:rsid w:val="00A059B3"/>
    <w:rsid w:val="00A359E8"/>
    <w:rsid w:val="00A42D48"/>
    <w:rsid w:val="00A44192"/>
    <w:rsid w:val="00A45834"/>
    <w:rsid w:val="00A72691"/>
    <w:rsid w:val="00A83751"/>
    <w:rsid w:val="00AB24E1"/>
    <w:rsid w:val="00AB7344"/>
    <w:rsid w:val="00AD3522"/>
    <w:rsid w:val="00AD42A3"/>
    <w:rsid w:val="00AD5EEE"/>
    <w:rsid w:val="00AE10E1"/>
    <w:rsid w:val="00AE121E"/>
    <w:rsid w:val="00AE30B0"/>
    <w:rsid w:val="00AE3409"/>
    <w:rsid w:val="00AE5BB5"/>
    <w:rsid w:val="00B11A60"/>
    <w:rsid w:val="00B1293D"/>
    <w:rsid w:val="00B12D43"/>
    <w:rsid w:val="00B14136"/>
    <w:rsid w:val="00B22613"/>
    <w:rsid w:val="00B231E3"/>
    <w:rsid w:val="00B24C72"/>
    <w:rsid w:val="00B31526"/>
    <w:rsid w:val="00B34750"/>
    <w:rsid w:val="00B35370"/>
    <w:rsid w:val="00B40207"/>
    <w:rsid w:val="00B462F9"/>
    <w:rsid w:val="00B60B01"/>
    <w:rsid w:val="00B7667E"/>
    <w:rsid w:val="00B830EF"/>
    <w:rsid w:val="00B87F99"/>
    <w:rsid w:val="00BA1025"/>
    <w:rsid w:val="00BA7FDF"/>
    <w:rsid w:val="00BB3632"/>
    <w:rsid w:val="00BC1A75"/>
    <w:rsid w:val="00BC3420"/>
    <w:rsid w:val="00BE1AA1"/>
    <w:rsid w:val="00BE7D3C"/>
    <w:rsid w:val="00BF3DCC"/>
    <w:rsid w:val="00BF58EE"/>
    <w:rsid w:val="00BF5FF6"/>
    <w:rsid w:val="00C0207F"/>
    <w:rsid w:val="00C05899"/>
    <w:rsid w:val="00C10659"/>
    <w:rsid w:val="00C16117"/>
    <w:rsid w:val="00C3075A"/>
    <w:rsid w:val="00C36887"/>
    <w:rsid w:val="00C542BD"/>
    <w:rsid w:val="00C716FF"/>
    <w:rsid w:val="00C76FFC"/>
    <w:rsid w:val="00C80EA6"/>
    <w:rsid w:val="00C875D9"/>
    <w:rsid w:val="00C87A9F"/>
    <w:rsid w:val="00C919A4"/>
    <w:rsid w:val="00C9471E"/>
    <w:rsid w:val="00CA4392"/>
    <w:rsid w:val="00CC393F"/>
    <w:rsid w:val="00CD10A1"/>
    <w:rsid w:val="00CE0CAF"/>
    <w:rsid w:val="00D00FED"/>
    <w:rsid w:val="00D17CAF"/>
    <w:rsid w:val="00D2176E"/>
    <w:rsid w:val="00D21C3B"/>
    <w:rsid w:val="00D42EBE"/>
    <w:rsid w:val="00D434D2"/>
    <w:rsid w:val="00D632BE"/>
    <w:rsid w:val="00D72D06"/>
    <w:rsid w:val="00D74925"/>
    <w:rsid w:val="00D7522C"/>
    <w:rsid w:val="00D7536F"/>
    <w:rsid w:val="00D75488"/>
    <w:rsid w:val="00D76668"/>
    <w:rsid w:val="00D84F05"/>
    <w:rsid w:val="00DB4B71"/>
    <w:rsid w:val="00DB594B"/>
    <w:rsid w:val="00DC15BF"/>
    <w:rsid w:val="00DD4A5F"/>
    <w:rsid w:val="00DF09CD"/>
    <w:rsid w:val="00DF2EE5"/>
    <w:rsid w:val="00E03F72"/>
    <w:rsid w:val="00E26A8E"/>
    <w:rsid w:val="00E372A1"/>
    <w:rsid w:val="00E50767"/>
    <w:rsid w:val="00E52C52"/>
    <w:rsid w:val="00E61E12"/>
    <w:rsid w:val="00E7596C"/>
    <w:rsid w:val="00E8517E"/>
    <w:rsid w:val="00E878F2"/>
    <w:rsid w:val="00E9335A"/>
    <w:rsid w:val="00E97097"/>
    <w:rsid w:val="00EA25EC"/>
    <w:rsid w:val="00EC5090"/>
    <w:rsid w:val="00ED0149"/>
    <w:rsid w:val="00ED03ED"/>
    <w:rsid w:val="00ED132E"/>
    <w:rsid w:val="00ED62E8"/>
    <w:rsid w:val="00ED6676"/>
    <w:rsid w:val="00EE2D38"/>
    <w:rsid w:val="00EF0B92"/>
    <w:rsid w:val="00EF6DD0"/>
    <w:rsid w:val="00EF7DE3"/>
    <w:rsid w:val="00F03103"/>
    <w:rsid w:val="00F2512B"/>
    <w:rsid w:val="00F2638D"/>
    <w:rsid w:val="00F271DE"/>
    <w:rsid w:val="00F43460"/>
    <w:rsid w:val="00F44372"/>
    <w:rsid w:val="00F5040C"/>
    <w:rsid w:val="00F57447"/>
    <w:rsid w:val="00F57F99"/>
    <w:rsid w:val="00F60A10"/>
    <w:rsid w:val="00F62288"/>
    <w:rsid w:val="00F627DA"/>
    <w:rsid w:val="00F6575B"/>
    <w:rsid w:val="00F67FE2"/>
    <w:rsid w:val="00F7288F"/>
    <w:rsid w:val="00F7531C"/>
    <w:rsid w:val="00F767F0"/>
    <w:rsid w:val="00F8398D"/>
    <w:rsid w:val="00F847A6"/>
    <w:rsid w:val="00F9441B"/>
    <w:rsid w:val="00F96569"/>
    <w:rsid w:val="00FA17A3"/>
    <w:rsid w:val="00FA4C32"/>
    <w:rsid w:val="00FA79B2"/>
    <w:rsid w:val="00FB0BE9"/>
    <w:rsid w:val="00FB6235"/>
    <w:rsid w:val="00FD7F0B"/>
    <w:rsid w:val="00FE7114"/>
    <w:rsid w:val="00FF2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E4004"/>
  <w15:docId w15:val="{B7056177-7B9C-4413-99BC-C31834AF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34B3"/>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62288"/>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62288"/>
    <w:pPr>
      <w:jc w:val="center"/>
    </w:pPr>
  </w:style>
  <w:style w:type="paragraph" w:customStyle="1" w:styleId="Author">
    <w:name w:val="Author"/>
    <w:rsid w:val="00F6228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62288"/>
    <w:pPr>
      <w:framePr w:hSpace="187" w:vSpace="187" w:wrap="notBeside" w:vAnchor="text" w:hAnchor="page" w:x="6121" w:y="577"/>
      <w:numPr>
        <w:numId w:val="3"/>
      </w:numPr>
      <w:spacing w:after="40"/>
    </w:pPr>
    <w:rPr>
      <w:sz w:val="16"/>
      <w:szCs w:val="16"/>
    </w:rPr>
  </w:style>
  <w:style w:type="paragraph" w:customStyle="1" w:styleId="papersubtitle">
    <w:name w:val="paper subtitle"/>
    <w:rsid w:val="00F62288"/>
    <w:pPr>
      <w:spacing w:after="120"/>
      <w:jc w:val="center"/>
    </w:pPr>
    <w:rPr>
      <w:rFonts w:eastAsia="MS Mincho"/>
      <w:noProof/>
      <w:sz w:val="28"/>
      <w:szCs w:val="28"/>
    </w:rPr>
  </w:style>
  <w:style w:type="paragraph" w:customStyle="1" w:styleId="papertitle">
    <w:name w:val="paper title"/>
    <w:rsid w:val="00F62288"/>
    <w:pPr>
      <w:spacing w:after="120"/>
      <w:jc w:val="center"/>
    </w:pPr>
    <w:rPr>
      <w:rFonts w:eastAsia="MS Mincho"/>
      <w:noProof/>
      <w:sz w:val="48"/>
      <w:szCs w:val="48"/>
    </w:rPr>
  </w:style>
  <w:style w:type="paragraph" w:customStyle="1" w:styleId="references">
    <w:name w:val="references"/>
    <w:rsid w:val="00F62288"/>
    <w:pPr>
      <w:numPr>
        <w:numId w:val="8"/>
      </w:numPr>
      <w:spacing w:after="50" w:line="180" w:lineRule="exact"/>
      <w:jc w:val="both"/>
    </w:pPr>
    <w:rPr>
      <w:rFonts w:eastAsia="MS Mincho"/>
      <w:noProof/>
      <w:sz w:val="16"/>
      <w:szCs w:val="16"/>
    </w:rPr>
  </w:style>
  <w:style w:type="paragraph" w:customStyle="1" w:styleId="sponsors">
    <w:name w:val="sponsors"/>
    <w:rsid w:val="00F6228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62288"/>
    <w:rPr>
      <w:b/>
      <w:bCs/>
      <w:sz w:val="16"/>
      <w:szCs w:val="16"/>
    </w:rPr>
  </w:style>
  <w:style w:type="paragraph" w:customStyle="1" w:styleId="tablecolsubhead">
    <w:name w:val="table col subhead"/>
    <w:basedOn w:val="tablecolhead"/>
    <w:rsid w:val="00F62288"/>
    <w:rPr>
      <w:i/>
      <w:iCs/>
      <w:sz w:val="15"/>
      <w:szCs w:val="15"/>
    </w:rPr>
  </w:style>
  <w:style w:type="paragraph" w:customStyle="1" w:styleId="tablecopy">
    <w:name w:val="table copy"/>
    <w:rsid w:val="00F6228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6228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4857F3"/>
    <w:rPr>
      <w:rFonts w:ascii="Tahoma" w:hAnsi="Tahoma" w:cs="Tahoma"/>
      <w:sz w:val="16"/>
      <w:szCs w:val="16"/>
    </w:rPr>
  </w:style>
  <w:style w:type="character" w:customStyle="1" w:styleId="BalloonTextChar">
    <w:name w:val="Balloon Text Char"/>
    <w:basedOn w:val="DefaultParagraphFont"/>
    <w:link w:val="BalloonText"/>
    <w:rsid w:val="004857F3"/>
    <w:rPr>
      <w:rFonts w:ascii="Tahoma" w:hAnsi="Tahoma" w:cs="Tahoma"/>
      <w:sz w:val="16"/>
      <w:szCs w:val="16"/>
    </w:rPr>
  </w:style>
  <w:style w:type="table" w:styleId="TableGrid">
    <w:name w:val="Table Grid"/>
    <w:basedOn w:val="TableNormal"/>
    <w:rsid w:val="009D2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relative">
    <w:name w:val="q-relative"/>
    <w:basedOn w:val="Normal"/>
    <w:rsid w:val="009D1273"/>
    <w:pPr>
      <w:spacing w:before="100" w:beforeAutospacing="1" w:after="100" w:afterAutospacing="1"/>
      <w:jc w:val="left"/>
    </w:pPr>
    <w:rPr>
      <w:rFonts w:eastAsia="Times New Roman"/>
      <w:sz w:val="24"/>
      <w:szCs w:val="24"/>
    </w:rPr>
  </w:style>
  <w:style w:type="character" w:styleId="Emphasis">
    <w:name w:val="Emphasis"/>
    <w:basedOn w:val="DefaultParagraphFont"/>
    <w:qFormat/>
    <w:rsid w:val="0044219B"/>
    <w:rPr>
      <w:i/>
      <w:iCs/>
    </w:rPr>
  </w:style>
  <w:style w:type="character" w:styleId="Hyperlink">
    <w:name w:val="Hyperlink"/>
    <w:basedOn w:val="DefaultParagraphFont"/>
    <w:unhideWhenUsed/>
    <w:rsid w:val="002946AC"/>
    <w:rPr>
      <w:color w:val="0000FF" w:themeColor="hyperlink"/>
      <w:u w:val="single"/>
    </w:rPr>
  </w:style>
  <w:style w:type="character" w:styleId="UnresolvedMention">
    <w:name w:val="Unresolved Mention"/>
    <w:basedOn w:val="DefaultParagraphFont"/>
    <w:uiPriority w:val="99"/>
    <w:semiHidden/>
    <w:unhideWhenUsed/>
    <w:rsid w:val="00294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9934">
      <w:bodyDiv w:val="1"/>
      <w:marLeft w:val="0"/>
      <w:marRight w:val="0"/>
      <w:marTop w:val="0"/>
      <w:marBottom w:val="0"/>
      <w:divBdr>
        <w:top w:val="none" w:sz="0" w:space="0" w:color="auto"/>
        <w:left w:val="none" w:sz="0" w:space="0" w:color="auto"/>
        <w:bottom w:val="none" w:sz="0" w:space="0" w:color="auto"/>
        <w:right w:val="none" w:sz="0" w:space="0" w:color="auto"/>
      </w:divBdr>
    </w:div>
    <w:div w:id="203098353">
      <w:bodyDiv w:val="1"/>
      <w:marLeft w:val="0"/>
      <w:marRight w:val="0"/>
      <w:marTop w:val="0"/>
      <w:marBottom w:val="0"/>
      <w:divBdr>
        <w:top w:val="none" w:sz="0" w:space="0" w:color="auto"/>
        <w:left w:val="none" w:sz="0" w:space="0" w:color="auto"/>
        <w:bottom w:val="none" w:sz="0" w:space="0" w:color="auto"/>
        <w:right w:val="none" w:sz="0" w:space="0" w:color="auto"/>
      </w:divBdr>
      <w:divsChild>
        <w:div w:id="79061697">
          <w:marLeft w:val="547"/>
          <w:marRight w:val="0"/>
          <w:marTop w:val="106"/>
          <w:marBottom w:val="0"/>
          <w:divBdr>
            <w:top w:val="none" w:sz="0" w:space="0" w:color="auto"/>
            <w:left w:val="none" w:sz="0" w:space="0" w:color="auto"/>
            <w:bottom w:val="none" w:sz="0" w:space="0" w:color="auto"/>
            <w:right w:val="none" w:sz="0" w:space="0" w:color="auto"/>
          </w:divBdr>
        </w:div>
        <w:div w:id="1868173937">
          <w:marLeft w:val="547"/>
          <w:marRight w:val="0"/>
          <w:marTop w:val="106"/>
          <w:marBottom w:val="0"/>
          <w:divBdr>
            <w:top w:val="none" w:sz="0" w:space="0" w:color="auto"/>
            <w:left w:val="none" w:sz="0" w:space="0" w:color="auto"/>
            <w:bottom w:val="none" w:sz="0" w:space="0" w:color="auto"/>
            <w:right w:val="none" w:sz="0" w:space="0" w:color="auto"/>
          </w:divBdr>
        </w:div>
      </w:divsChild>
    </w:div>
    <w:div w:id="330838498">
      <w:bodyDiv w:val="1"/>
      <w:marLeft w:val="0"/>
      <w:marRight w:val="0"/>
      <w:marTop w:val="0"/>
      <w:marBottom w:val="0"/>
      <w:divBdr>
        <w:top w:val="none" w:sz="0" w:space="0" w:color="auto"/>
        <w:left w:val="none" w:sz="0" w:space="0" w:color="auto"/>
        <w:bottom w:val="none" w:sz="0" w:space="0" w:color="auto"/>
        <w:right w:val="none" w:sz="0" w:space="0" w:color="auto"/>
      </w:divBdr>
    </w:div>
    <w:div w:id="459231396">
      <w:bodyDiv w:val="1"/>
      <w:marLeft w:val="0"/>
      <w:marRight w:val="0"/>
      <w:marTop w:val="0"/>
      <w:marBottom w:val="0"/>
      <w:divBdr>
        <w:top w:val="none" w:sz="0" w:space="0" w:color="auto"/>
        <w:left w:val="none" w:sz="0" w:space="0" w:color="auto"/>
        <w:bottom w:val="none" w:sz="0" w:space="0" w:color="auto"/>
        <w:right w:val="none" w:sz="0" w:space="0" w:color="auto"/>
      </w:divBdr>
    </w:div>
    <w:div w:id="542253378">
      <w:bodyDiv w:val="1"/>
      <w:marLeft w:val="0"/>
      <w:marRight w:val="0"/>
      <w:marTop w:val="0"/>
      <w:marBottom w:val="0"/>
      <w:divBdr>
        <w:top w:val="none" w:sz="0" w:space="0" w:color="auto"/>
        <w:left w:val="none" w:sz="0" w:space="0" w:color="auto"/>
        <w:bottom w:val="none" w:sz="0" w:space="0" w:color="auto"/>
        <w:right w:val="none" w:sz="0" w:space="0" w:color="auto"/>
      </w:divBdr>
    </w:div>
    <w:div w:id="777336755">
      <w:bodyDiv w:val="1"/>
      <w:marLeft w:val="0"/>
      <w:marRight w:val="0"/>
      <w:marTop w:val="0"/>
      <w:marBottom w:val="0"/>
      <w:divBdr>
        <w:top w:val="none" w:sz="0" w:space="0" w:color="auto"/>
        <w:left w:val="none" w:sz="0" w:space="0" w:color="auto"/>
        <w:bottom w:val="none" w:sz="0" w:space="0" w:color="auto"/>
        <w:right w:val="none" w:sz="0" w:space="0" w:color="auto"/>
      </w:divBdr>
    </w:div>
    <w:div w:id="798449999">
      <w:bodyDiv w:val="1"/>
      <w:marLeft w:val="0"/>
      <w:marRight w:val="0"/>
      <w:marTop w:val="0"/>
      <w:marBottom w:val="0"/>
      <w:divBdr>
        <w:top w:val="none" w:sz="0" w:space="0" w:color="auto"/>
        <w:left w:val="none" w:sz="0" w:space="0" w:color="auto"/>
        <w:bottom w:val="none" w:sz="0" w:space="0" w:color="auto"/>
        <w:right w:val="none" w:sz="0" w:space="0" w:color="auto"/>
      </w:divBdr>
    </w:div>
    <w:div w:id="1612588481">
      <w:bodyDiv w:val="1"/>
      <w:marLeft w:val="0"/>
      <w:marRight w:val="0"/>
      <w:marTop w:val="0"/>
      <w:marBottom w:val="0"/>
      <w:divBdr>
        <w:top w:val="none" w:sz="0" w:space="0" w:color="auto"/>
        <w:left w:val="none" w:sz="0" w:space="0" w:color="auto"/>
        <w:bottom w:val="none" w:sz="0" w:space="0" w:color="auto"/>
        <w:right w:val="none" w:sz="0" w:space="0" w:color="auto"/>
      </w:divBdr>
    </w:div>
    <w:div w:id="17365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466D-37FA-48ED-84D2-450F2FD9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Taten Knight</cp:lastModifiedBy>
  <cp:revision>14</cp:revision>
  <dcterms:created xsi:type="dcterms:W3CDTF">2022-05-01T21:17:00Z</dcterms:created>
  <dcterms:modified xsi:type="dcterms:W3CDTF">2022-05-16T06:06:00Z</dcterms:modified>
</cp:coreProperties>
</file>