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79C40">
      <w:pPr>
        <w:pStyle w:val="10"/>
        <w:spacing w:before="200" w:after="120" w:line="360" w:lineRule="auto"/>
        <w:jc w:val="left"/>
      </w:pPr>
      <w:r>
        <w:rPr>
          <w:rFonts w:ascii="KaiTi_GB2312" w:hAnsi="KaiTi_GB2312" w:eastAsia="KaiTi_GB2312"/>
          <w:sz w:val="28"/>
          <w:szCs w:val="28"/>
        </w:rPr>
        <w:t>9.5 面向下一代金融基础设施的联盟链</w:t>
      </w:r>
    </w:p>
    <w:p w14:paraId="0CC1B2C5">
      <w:pPr>
        <w:pStyle w:val="11"/>
        <w:spacing w:before="160" w:after="80" w:line="360" w:lineRule="auto"/>
        <w:jc w:val="left"/>
      </w:pPr>
      <w:r>
        <w:rPr>
          <w:rFonts w:ascii="黑体" w:hAnsi="黑体" w:eastAsia="黑体"/>
          <w:b/>
          <w:sz w:val="24"/>
          <w:szCs w:val="24"/>
        </w:rPr>
        <w:t>9.5.1 Arc</w:t>
      </w:r>
    </w:p>
    <w:p w14:paraId="2AF845E2">
      <w:pPr>
        <w:pStyle w:val="6"/>
        <w:spacing w:before="0" w:after="0" w:line="360" w:lineRule="auto"/>
        <w:ind w:firstLine="420"/>
        <w:jc w:val="both"/>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从稳定币生态的整体演进角度看，2024 年至 2026 年是 USDC 从“加密原生支付工具”向“全球美元基础设施”扩张的关键阶段。Circle 在这一阶段完成了资本市场化进程，并通过以太坊、Solana、Base、Polygon 等多条主流网络建立了原生 USDC 发行、跨链转移协议和机构支付接入能力。然而，多链部署模式也逐渐暴露出与稳定币使用场景之间的结构性错配。第一，稳定币支付链路中的 Gas 仍往往由 ETH、SOL 等波动性资产承担。对于普通加密用户而言，这只是一次链上操作成本；但对于企业财务、机构支付和跨境结算而言，这意味着本应以美元稳定币为核心的支付流程被迫重新引入波动性资产、换币路径、会计归集和合规来源审查。第二，通用公链在透明性和隐私之间缺乏适合机构金融的中间态。链上数据完全公开有利于验证，但不适合机构交易、做市路径、客户关系、基金流转和批发清算全部暴露。第三，不同公链在最终性时间、安全模型、升级治理和跨链确认路径上存在差异，Circle 在扩展 USDC 多链流通的同时，也必须面对不同底层网络带来的运营和合规不确定性。Arc正是在这一背景下被提出。它被定位为面向稳定币金融的开放 Layer-1，而不是又一条泛化的智能合约链。其核心并不在于简单增加一条 USDC 部署网络，而在于把 USDC、EURC、USYC 等稳定价值资产提升为协议层原语，使稳定币成为整条链的计价单位、Gas 单位、清算单位和合规接入单位。这一设计与 Circle 的战略定位高度一致：Circle 不再只是稳定币发行方，而是试图成为连接银行、支付机构、开发者、做市商和资产发行人的稳定币基础设施提供者。</w:t>
      </w:r>
    </w:p>
    <w:p w14:paraId="4F03A2D3">
      <w:pPr>
        <w:pStyle w:val="6"/>
        <w:spacing w:before="0" w:after="0" w:line="360" w:lineRule="auto"/>
        <w:ind w:firstLine="420"/>
        <w:jc w:val="both"/>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在技术架构上，Arc 可以理解为“以以太坊执行兼容性获取生态势能，以现代共识层和稳定币原语承载机构语义”的组合。执行层采用 EVM 兼容路线，并基于 Reth 等现代以太坊客户端工程能力，使 Solidity 合约、以太坊开发工具、钱包、审计流程和应用迁移经验能够较低成本进入 Arc 生态。对于机构而言，EVM 兼容性的意义不仅是开发便利，更是减少合约安全模型、审计方法和运维工具的迁移成本。共识层引入 Malachite 高性能共识引擎，并吸收 BFT、形式化验证和共识设计方面的技术积累，目标是在受控验证人集合下实现更快的确定性最终性。与以太坊主网面向全球开放验证的通用 PoS 模型相比，Arc 更强调支付和清算场景所需的稳定延迟、可预测费用和确定性结算语义。在协议原语层面，Arc 的关键创新是 USDC 原生 Gas。Arc 以 USDC 作为原生 Gas 代币，交易费用、原生转账和 msg.value 均以 USDC 计价，同时通过 ERC-20 接口保持与其他 EVM 应用的兼容性。这样一来，机构无需先持有波动性资产才能完成稳定币支付，也无需在费用市场中引入额外汇率转换。Arc 还将 EURC 和 USYC 纳入原生支持资产，使欧元稳定币支付和链上收益型资产可以在统一协议语义中组合。围绕这一底座，Arc 规划支持跨境支付、批发 USDC 结算、稳定币 FX、合规 DeFi、链上信贷、资本市场结算和代币化抵押品等场景。由于 Arc 仍属于快速演进中的新基础设施，机构案例、主网运行数据和真实吞吐表现仍需经过更长周期验证。因此，本节更应把 Arc 视为一种稳定币原生金融链的架构样本，而不是已经被充分验证的成熟金融网络。</w:t>
      </w:r>
    </w:p>
    <w:p w14:paraId="307A9C3A">
      <w:pPr>
        <w:pStyle w:val="6"/>
        <w:spacing w:before="0" w:after="0" w:line="360" w:lineRule="auto"/>
        <w:ind w:firstLine="420"/>
        <w:jc w:val="both"/>
        <w:rPr>
          <w:rFonts w:ascii="Times New Roman" w:hAnsi="Times New Roman" w:eastAsia="宋体"/>
          <w:sz w:val="21"/>
          <w:szCs w:val="21"/>
        </w:rPr>
      </w:pPr>
      <w:r>
        <w:rPr>
          <w:rFonts w:hint="eastAsia" w:ascii="Times New Roman" w:hAnsi="Times New Roman" w:eastAsia="宋体" w:cs="Times New Roman"/>
          <w:sz w:val="21"/>
          <w:szCs w:val="21"/>
        </w:rPr>
        <w:t xml:space="preserve">  从技术优势看，Arc 首先解决的是稳定币使用中的“链上会计单位错配”问题。传统公链虽然可以承载 USDC，但 Gas、费用市场、区块空间竞价和协议激励往往围绕本链原生波动资产展开；Arc 则把支付资产、费用资产和结算资产统一到 USDC，使企业财务系统、支付机构和链上应用之间的语义更接近传统美元清算。其次，Arc 没有放弃公链生态的开发者基础，而是通过 EVM 兼容和 Circle 平台集成，在开放开发和机构接入之间建立桥梁。再次，Arc将稳定币、合规、身份、支付和跨链转移放在同一工程空间中，有助于减少应用层各自拼装 KYC、KYT、支付网关和跨链桥所造成的碎片化。但 Arc 面临的挑战同样明显。第一，验证人集合、治理机制、升级权限和合规策略如何安排，将决定其到底更接近公链、联盟链，还是由发行方主导的准许可金融网络。第二，USDC 已经在 Ethereum、Base、Solana 等网络上形成强网络效应，Arc 必须证明其稳定币原生设计能够带来足够大的机构迁移动力，而不仅是增加一个新的结算选项。第三，稳定币监管仍处于持续变化中，特别是跨境支付、储备资产、Travel Rule、制裁筛查和机构钱包管理要求，都可能影响 Arc 的协议设计与生态扩展。对于传统联盟链而言，Arc 的借鉴价值不在于简单复制一条稳定币公链，而在于提示联盟链设计者：未来金融级区块链不能只把合规、身份和审计当作外围系统，而应将其作为协议层和平台层的一等能力；不能只追求链内一致性，还要面向真实支付、资产流动和跨机构清算重新定义账户、费用、最终性和隐私模型。</w:t>
      </w:r>
    </w:p>
    <w:p w14:paraId="5D19B33A"/>
    <w:p w14:paraId="56E1402C">
      <w:pPr>
        <w:pStyle w:val="11"/>
        <w:spacing w:before="160" w:after="80" w:line="360" w:lineRule="auto"/>
        <w:jc w:val="left"/>
      </w:pPr>
      <w:r>
        <w:rPr>
          <w:rFonts w:ascii="黑体" w:hAnsi="黑体" w:eastAsia="黑体"/>
          <w:b/>
          <w:sz w:val="24"/>
          <w:szCs w:val="24"/>
        </w:rPr>
        <w:t>9.5.2 Tempo</w:t>
      </w:r>
    </w:p>
    <w:p w14:paraId="74B25C95">
      <w:pPr>
        <w:pStyle w:val="6"/>
        <w:spacing w:before="0" w:after="0" w:line="360" w:lineRule="auto"/>
        <w:ind w:firstLine="420"/>
        <w:jc w:val="both"/>
        <w:rPr>
          <w:rFonts w:hint="default" w:ascii="Times New Roman" w:hAnsi="Times New Roman" w:eastAsia="宋体" w:cs="Times New Roman"/>
          <w:sz w:val="21"/>
          <w:szCs w:val="21"/>
          <w:lang/>
        </w:rPr>
      </w:pPr>
      <w:r>
        <w:rPr>
          <w:rFonts w:hint="default" w:ascii="Times New Roman" w:hAnsi="Times New Roman" w:eastAsia="宋体" w:cs="Times New Roman"/>
          <w:sz w:val="21"/>
          <w:szCs w:val="21"/>
          <w:lang/>
        </w:rPr>
        <w:t>Tempo 的出现反映了另一条路径：不是由稳定币发行方向底层链延伸，而是由支付公司从真实支付需求反向定义区块链。Stripe 长期处于全球商户收单、在线支付、订阅结算、平台分账和跨境付款的核心位置，其面对的问题与典型加密原生项目不同。对于普通公链而言，链上交易更多围绕资产交易、DeFi 操作和用户自主管理钱包展开；对于支付网络而言，核心问题是商户能否稳定收款、平台能否批量付款、客户能否低成本完成跨境支付、账务系统能否准确识别订单、退款、发票和分账关系。稳定币为这些场景提供了新的价值媒介，但通用公链并不天然适合高频支付业务：交易确认时间波动、Gas 费用以波动资产计价、交易附言和对账字段不足、批量交易 nonce 管理复杂、商户端缺乏费用代付和抽象账户体验。Tempo 正是在这一问题域中被提出。它由 Stripe 与 Paradigm 孵化，定位为面向稳定币支付的高性能 Layer-1，既吸收 Paradigm 在 Reth、Foundry 等以太坊基础设施上的工程积累，也服务 Stripe 所熟悉的支付、商户结算和平台经济场景。其核心并不在于发行新的主权货币或替代现有支付网络，而是把区块链改造成更符合支付处理器需求的结算层。</w:t>
      </w:r>
    </w:p>
    <w:p w14:paraId="620212E7">
      <w:pPr>
        <w:pStyle w:val="6"/>
        <w:spacing w:before="0" w:after="0" w:line="360" w:lineRule="auto"/>
        <w:ind w:firstLine="420"/>
        <w:jc w:val="both"/>
        <w:rPr>
          <w:rFonts w:hint="default" w:ascii="Times New Roman" w:hAnsi="Times New Roman" w:eastAsia="宋体" w:cs="Times New Roman"/>
          <w:sz w:val="21"/>
          <w:szCs w:val="21"/>
          <w:lang/>
        </w:rPr>
      </w:pPr>
      <w:r>
        <w:rPr>
          <w:rFonts w:hint="default" w:ascii="Times New Roman" w:hAnsi="Times New Roman" w:eastAsia="宋体" w:cs="Times New Roman"/>
          <w:sz w:val="21"/>
          <w:szCs w:val="21"/>
          <w:lang/>
        </w:rPr>
        <w:t>  在架构设计上，Tempo 采用 EVM 兼容路线并围绕支付负载做专项优化。Tempo 构建在 Reth 相关工程能力之上，并采用 Simplex BFT 等低延迟共识设计，以实现正常网络条件下的亚秒级确定性最终性。与通用公链以账户状态和智能合约组合为中心不同，Tempo 将支付语义直接嵌入协议设计。例如，TIP-20 代币标准在 ERC-20 基础上增加货币标识、Gas 支付能力、32 字节 memo 字段、奖励分配和合规策略接入，使链上稳定币转账更容易与发票、订单、工资单、商户编号和内部账务系统对应。Tempo 还支持多稳定币支付费用、费用赞助、批量交易、计划支付、通行密钥签名和并行交易提交等能力。对于普通用户而言，这些能力可能只是改善钱包体验；但对于支付公司而言，它们直接对应商户结算、退款、平台分账、创作者收入分配、跨境供应商付款和机器支付等核心流程。以跨境商户结算为例，传统流程通常需要收单机构、清算网络、代理行、外汇服务商和本地银行共同参与，结算周期可能跨越多个工作日。Tempo 所代表的稳定币支付链试图把美元或其他稳定币作为统一结算媒介，使商户、平台和服务商在链上完成近实时资金移动，再通过本地出入金通道进入银行体系。在机器支付和 AI 代理场景中，Tempo 的价值则体现为小额、高频、可编程、可自动对账的支付能力，例如 API 调用计费、自动采购、订阅式算力支付和内容微支付。</w:t>
      </w:r>
    </w:p>
    <w:p w14:paraId="5BC74204">
      <w:pPr>
        <w:pStyle w:val="6"/>
        <w:spacing w:before="0" w:after="0" w:line="360" w:lineRule="auto"/>
        <w:ind w:firstLine="420"/>
        <w:jc w:val="both"/>
        <w:rPr>
          <w:rFonts w:ascii="Times New Roman" w:hAnsi="Times New Roman" w:eastAsia="宋体" w:cs="Times New Roman"/>
          <w:sz w:val="21"/>
          <w:szCs w:val="21"/>
        </w:rPr>
      </w:pPr>
      <w:r>
        <w:rPr>
          <w:rFonts w:hint="default" w:ascii="Times New Roman" w:hAnsi="Times New Roman" w:eastAsia="宋体" w:cs="Times New Roman"/>
          <w:sz w:val="21"/>
          <w:szCs w:val="21"/>
          <w:lang/>
        </w:rPr>
        <w:t>  Tempo 的生态价值在于，它把支付系统长期积累的业务约束带入区块链底层设计。过去许多链上支付方案的问题不是不能转账，而是转账之后难以和现实商业流程对接：谁替用户付 Gas，如何识别订单，如何退款，如何批量付款，如何处理合规策略，如何让商户在不理解私钥和区块浏览器的情况下使用链上结算。Tempo 将这些问题前置到协议和开发者工具层，有助于使稳定币从“加密账户之间的转账工具”转向“支付平台可嵌入的结算网络”。但它同样面临挑战。首先，支付业务高度依赖监管许可、银行合作、商户接受度和本地法币出入金网络，区块链性能并不能单独决定落地效果。其次，Stripe 与 Paradigm 的主导地位会引发网络中立性讨论：如果一条支付链与大型支付公司深度绑定，其他支付机构、钱包、稳定币发行方和商户平台是否会把它视为中立基础设施，仍需生态治理来回答。再次，稳定币支付在消费者保护、反洗钱、制裁合规、退款争议和商户风险管理方面仍需与传统支付制度衔接。对联盟链支付能力而言，Tempo 的启示在于：未来的支付型联盟链不能只追求 TPS 和低手续费，还必须把对账字段、批量结算、费用代付、账户抽象、合规策略和商户系统集成作为基础能力。真正的金融级支付链，首先应当理解支付业务，而不是只把支付看作一种简单转账。</w:t>
      </w:r>
    </w:p>
    <w:p w14:paraId="0E578DB6">
      <w:pPr>
        <w:pStyle w:val="11"/>
        <w:spacing w:before="160" w:after="80" w:line="360" w:lineRule="auto"/>
        <w:jc w:val="left"/>
      </w:pPr>
      <w:r>
        <w:rPr>
          <w:rFonts w:ascii="黑体" w:hAnsi="黑体" w:eastAsia="黑体"/>
          <w:b/>
          <w:sz w:val="24"/>
          <w:szCs w:val="24"/>
        </w:rPr>
        <w:t>9.5.3 Plasma</w:t>
      </w:r>
    </w:p>
    <w:p w14:paraId="55FBA5B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Times New Roman" w:hAnsi="Times New Roman" w:eastAsia="宋体" w:cs="Times New Roman"/>
          <w:kern w:val="0"/>
          <w:sz w:val="21"/>
          <w:szCs w:val="21"/>
          <w:lang/>
        </w:rPr>
      </w:pPr>
      <w:r>
        <w:rPr>
          <w:rFonts w:hint="default" w:ascii="Times New Roman" w:hAnsi="Times New Roman" w:eastAsia="宋体" w:cs="Times New Roman"/>
          <w:kern w:val="0"/>
          <w:sz w:val="21"/>
          <w:szCs w:val="21"/>
          <w:lang w:val="en-US" w:eastAsia="zh-CN"/>
        </w:rPr>
        <w:t>Plasma 代表的是围绕 USDT 生态形成的稳定币专用结算网络方向。与 USDC 更强调合规机构接</w:t>
      </w:r>
      <w:r>
        <w:rPr>
          <w:rFonts w:hint="default" w:ascii="Times New Roman" w:hAnsi="Times New Roman" w:eastAsia="宋体" w:cs="Times New Roman"/>
          <w:kern w:val="0"/>
          <w:sz w:val="21"/>
          <w:szCs w:val="21"/>
          <w:lang w:val="en-US" w:eastAsia="zh-CN"/>
        </w:rPr>
        <w:t>入和美国监管语境不同，USDT 长期在全球加密交易、跨境资金流动、新兴市场美元化需求和零售稳定币支付中占据重要位置。大量用户并不是为了使用复杂智能合约而持有 USDT，而是为了在不同交易所、钱包、地区和支付场景之间转移美元计价价值。因此，USDT 的核心基础设施问题并不只是“在哪条链上发行”，而是如何在全球规模下获得低费用、高可用、跨链流动性和足够简单的支付体验。过去几年，USDT 在 Tron、Ethereum、Solana、Avalanche 等网络上广泛流通，但多链发行也带来碎片化问题：不同链的手续费、确认时间、安全模型、钱包支持、交易所充值通道和监管风险并不一致。Plasma 正是在这一背景下被市场关注，其定位是面向 USDT 和稳定币支付的高性能区块链，试图为大规模稳定币转账提供更贴近支付需求的底层网络。</w:t>
      </w:r>
    </w:p>
    <w:p w14:paraId="42BF694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Times New Roman" w:hAnsi="Times New Roman" w:eastAsia="宋体" w:cs="Times New Roman"/>
          <w:kern w:val="0"/>
          <w:sz w:val="21"/>
          <w:szCs w:val="21"/>
          <w:lang/>
        </w:rPr>
      </w:pPr>
      <w:r>
        <w:rPr>
          <w:rFonts w:hint="default" w:ascii="Times New Roman" w:hAnsi="Times New Roman" w:eastAsia="宋体" w:cs="Times New Roman"/>
          <w:kern w:val="0"/>
          <w:sz w:val="21"/>
          <w:szCs w:val="21"/>
          <w:lang w:val="en-US" w:eastAsia="zh-CN"/>
        </w:rPr>
        <w:t> 从技术路线看，Plasma 的核心叙事可以概括为“比特币安全叙事、EVM 可编程性和 USDT 支付优化”的结合。其架构通常被理解为与比特币相关的侧链或锚定型网络，并强调 EVM 兼容能力，使开发者可以复用以太坊智能合约和工具链，同时围绕 USDT 转账降低费用、提升吞吐和优化支付体验。与 Arc 和 Tempo 不同，Plasma 的战略重心更接近 USDT 的全球流通网络：它服务的并不只是受监管机构支付，也包括交易所出入金、跨境汇款、个人钱包转账、新兴市场美元储值、商户收款和链上流动性迁移。由于 USDT 的流通规模和使用地区高度分散，一条稳定币专用链如果能够提供低成本转账、充足流动性、主流钱包支持和交易所通道，便可能在实际支付层面形成强吸引力。</w:t>
      </w:r>
    </w:p>
    <w:p w14:paraId="4EC9A79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Times New Roman" w:hAnsi="Times New Roman" w:eastAsia="宋体" w:cs="Times New Roman"/>
          <w:kern w:val="0"/>
          <w:sz w:val="21"/>
          <w:szCs w:val="21"/>
          <w:lang/>
        </w:rPr>
      </w:pPr>
      <w:r>
        <w:rPr>
          <w:rFonts w:hint="default" w:ascii="Times New Roman" w:hAnsi="Times New Roman" w:eastAsia="宋体" w:cs="Times New Roman"/>
          <w:kern w:val="0"/>
          <w:sz w:val="21"/>
          <w:szCs w:val="21"/>
          <w:lang w:val="en-US" w:eastAsia="zh-CN"/>
        </w:rPr>
        <w:t>  典型场景包括：用户从交易所提取 USDT 至自托管钱包，以低手续费支付给海外供应商；跨境自由职业者接收稳定币收入并通过本地渠道兑换；做市商在多条链和交易平台之间调拨 USDT 流动性；商户通过稳定币收款降低信用卡拒付和代理行成本。对这些场景而言，链上隐私、合规披露和金融机构准入固然重要，但更直接的需求往往是费用、速度、可用性和流动性。</w:t>
      </w:r>
    </w:p>
    <w:p w14:paraId="5BF2DDB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pPr>
      <w:r>
        <w:rPr>
          <w:rFonts w:hint="default" w:ascii="Times New Roman" w:hAnsi="Times New Roman" w:eastAsia="宋体" w:cs="Times New Roman"/>
          <w:kern w:val="0"/>
          <w:sz w:val="21"/>
          <w:szCs w:val="21"/>
          <w:lang w:val="en-US" w:eastAsia="zh-CN"/>
        </w:rPr>
        <w:t>  Plasma 的市场影响取决于 USDT 网络效应能否转化为链级网络效应。如果 USDT 的主要流动性、钱包支持、交易所通道和支付应用逐步向 Plasma 聚集，它可能成为稳定币支付基础设施中的重要一环；但如果用户仍然依赖Tron、Ethereum、Solana 等既有网络，Plasma 则可能只是又一条发行通道。其风险也较为突出。第一，USDT 作为中心化稳定币，其储备透明度、监管压力、冻结能力和发行方治理一直是市场关注焦点，底层链无法消除这些资产层风险。第二，比特币侧链或锚定机制的安全性需要通过长期运行验证，不能简单等同于继承比特币主网安全。第三，若 Plasma 深度绑定 USDT 生态，其资产多样性和治理中立性可能受到限制。第四，面向全球用户的稳定币支付不可避免地涉及反洗钱、制裁筛查、消费者保护和跨境资本流动监管。对于传统联盟链而言，Plasma 的互补价值在于提醒我们：金融基础设施不仅存在于银行和机构系统内部，也存在于全球稳定币实际流通网络中。传统联盟链若要进入跨境支付和数字资产结算场景，不能只关注许可节点和审批流程，还必须理解大规模稳定币流动性、钱包入口、交易所通道和用户成本结构。</w:t>
      </w:r>
    </w:p>
    <w:p w14:paraId="70E7E439">
      <w:pPr>
        <w:pStyle w:val="11"/>
        <w:spacing w:before="160" w:after="80" w:line="360" w:lineRule="auto"/>
        <w:jc w:val="left"/>
      </w:pPr>
      <w:r>
        <w:rPr>
          <w:rFonts w:ascii="黑体" w:hAnsi="黑体" w:eastAsia="黑体"/>
          <w:b/>
          <w:sz w:val="24"/>
          <w:szCs w:val="24"/>
        </w:rPr>
        <w:t>9.5.4 Kinexys</w:t>
      </w:r>
    </w:p>
    <w:p w14:paraId="59312413">
      <w:pPr>
        <w:pStyle w:val="6"/>
        <w:spacing w:before="0" w:after="0" w:line="360" w:lineRule="auto"/>
        <w:ind w:firstLine="420"/>
        <w:jc w:val="both"/>
        <w:rPr>
          <w:rFonts w:hint="eastAsia" w:ascii="Times New Roman" w:hAnsi="Times New Roman" w:eastAsia="宋体"/>
          <w:sz w:val="21"/>
          <w:szCs w:val="21"/>
        </w:rPr>
      </w:pPr>
      <w:r>
        <w:rPr>
          <w:rFonts w:hint="eastAsia" w:ascii="Times New Roman" w:hAnsi="Times New Roman" w:eastAsia="宋体"/>
          <w:sz w:val="21"/>
          <w:szCs w:val="21"/>
        </w:rPr>
        <w:t>Kinexys 是大型银行主导区块链金融基础设施演进的代表案例。JPMorgan 早期通过 JPM Coin 和 Onyx 探索链上支付、银行间结算和机构资金调拨，随后将相关能力整合升级为 Kinexys 品牌，覆盖支付、数字资产、信息服务和基金流转等多个方向。这一路径与 Arc、Tempo、Plasma 有明显差异：它不是从开放稳定币生态切入，也不是从零售支付需求出发，而是从大型金融机构内部的清算、抵押品、基金运营和客户服务流程出发，把区块链作为改造传统金融后台和机构资产生命周期的工具。传统银行基础设施的痛点并不总是“转账速度慢”这么简单。更深层的问题在于，多家银行、托管人、基金管理人、分销机构、投资者、清算机构和监管方之间存在大量重复记录、人工核对、批量文件传输和延迟确认。资金已经到账但份额登记未完成、抵押品已划转但风险系统未同步、基金资本调用通知已经发出但投资人付款状态分散在多个系统中，这些问题都增加了运营成本和流动性占用。Kinexys 的机构级定位，正是要在银行可信边界内把资金、资产、身份、合规和业务流程放到共享账本上。</w:t>
      </w:r>
    </w:p>
    <w:p w14:paraId="7506966C">
      <w:pPr>
        <w:pStyle w:val="6"/>
        <w:spacing w:before="0" w:after="0" w:line="360" w:lineRule="auto"/>
        <w:ind w:firstLine="420"/>
        <w:jc w:val="both"/>
        <w:rPr>
          <w:rFonts w:hint="eastAsia" w:ascii="Times New Roman" w:hAnsi="Times New Roman" w:eastAsia="宋体"/>
          <w:sz w:val="21"/>
          <w:szCs w:val="21"/>
        </w:rPr>
      </w:pPr>
      <w:r>
        <w:rPr>
          <w:rFonts w:hint="eastAsia" w:ascii="Times New Roman" w:hAnsi="Times New Roman" w:eastAsia="宋体"/>
          <w:sz w:val="21"/>
          <w:szCs w:val="21"/>
        </w:rPr>
        <w:t xml:space="preserve">  在支付结算层面，Kinexys 延续了 JPM Coin 和机构支付网络的思路，强调近实时结算、可编程支付和多币种资金调拨。与公开稳定币不同，JPM Coin 更接近银行体系内部的代币化存款或链上银行负债，适用于已经通过银行KYC 和账户体系管理的机构客户。其价值不在于匿名流通，而在于让机构在同一银行或受控网络内更快完成资金调拨、流动性管理和跨境收付款。更具代表性的方向是资产代币化与基金运营。Kinexys Fund Flow 旨在通过共享账本管理另类基金生命周期，包括基金成立、资本调用、投资人付款状态、分配、赎回和报告等流程。传统私募基金和另类资产运营高度依赖邮件、PDF、银行电汇、人工对账和多个登记系统，投资人、基金管理人、行政管理人和分销渠道之间的信息不对称明显。将基金权益和资本事件代币化，并不意味着基金变成可自由交易的加密资产，而是通过链上记录提升投资人状态透明度、减少延迟和数据差异，使资金流、份额流和信息流更一致。J.P. Morgan</w:t>
      </w:r>
      <w:r>
        <w:rPr>
          <w:rFonts w:hint="eastAsia" w:eastAsia="宋体"/>
          <w:sz w:val="21"/>
          <w:szCs w:val="21"/>
          <w:lang w:val="en-US" w:eastAsia="zh-CN"/>
        </w:rPr>
        <w:t xml:space="preserve"> </w:t>
      </w:r>
      <w:r>
        <w:rPr>
          <w:rFonts w:hint="eastAsia" w:ascii="Times New Roman" w:hAnsi="Times New Roman" w:eastAsia="宋体"/>
          <w:sz w:val="21"/>
          <w:szCs w:val="21"/>
        </w:rPr>
        <w:t>Asset Management 推出的代币化货币市场基金 MONY，也体现出 Kinexys 从内部支付扩展到受监管资产链上发行、持有、转让和潜在抵押品使用的战略方向。合格投资者通过 Morgan Money 平台接入链上资产，既保留传统资产管理的客户准入、投资者适当性和合规框架，又引入链上登记、透明度和可编程转让能力。</w:t>
      </w:r>
    </w:p>
    <w:p w14:paraId="6C227FA6">
      <w:pPr>
        <w:pStyle w:val="6"/>
        <w:spacing w:before="0" w:after="0" w:line="360" w:lineRule="auto"/>
        <w:ind w:firstLine="420"/>
        <w:jc w:val="both"/>
        <w:rPr>
          <w:rFonts w:ascii="Times New Roman" w:hAnsi="Times New Roman" w:eastAsia="宋体"/>
          <w:sz w:val="21"/>
          <w:szCs w:val="21"/>
        </w:rPr>
      </w:pPr>
      <w:r>
        <w:rPr>
          <w:rFonts w:hint="eastAsia" w:ascii="Times New Roman" w:hAnsi="Times New Roman" w:eastAsia="宋体"/>
          <w:sz w:val="21"/>
          <w:szCs w:val="21"/>
        </w:rPr>
        <w:t xml:space="preserve">  Kinexys 对联盟链的示范意义在于，它体现了机构采用区块链时的真实路径：不是先追求开放生态和代币价格，而是从已有客户、资产、账户和运营流程中寻找效率提升点。其技术优势包括银行级合规体系、现有机构客户基础、资金账户接入能力、托管和资产服务能力，以及对监管要求的熟悉程度。对于基金、抵押品和跨境支付这类场景，机构最关心的往往不是链是否完全开放，而是法律关系是否清晰、资产权属是否可执行、隐私是否受控、审计是否充分、出现争议时是否有明确责任主体。Kinexys 正好处在这类需求的中心位置。不过，其挑战同样来自银行主导模式本身。第一，银行链上资产的互操作性取决于其他银行、托管机构、市场基础设施和公链生态是否愿意接入；如果每家大型机构都建设自己的代币化资产网络，新的碎片化可能替代旧的后台割裂。第二，代币化基金和链上抵押品只有在二级流动性、合规转让、估值、风险管理和监管认可成熟后，才能释放更大市场价值。第三，Kinexys与稳定币基础设施既有协同也有竞争：稳定币提供开放美元流动性，银行代币化存款提供受监管银行负债，两者可能在批发结算、抵押品调度和基金申赎中形成组合，也可能在支付网络控制权上产生张力。对传统联盟链建设者而言，Kinexys 的关键启示是：机构级区块链不应只建设“链”，而应同时建设资产、账户、合规、运营流程和客户入口；只有当链上状态能够改变真实金融业务的成本、速度和风险结构时，联盟链才具有长期价值。</w:t>
      </w:r>
    </w:p>
    <w:p w14:paraId="3561D11A"/>
    <w:p w14:paraId="216068DB">
      <w:pPr>
        <w:pStyle w:val="11"/>
        <w:spacing w:before="160" w:after="80" w:line="360" w:lineRule="auto"/>
        <w:jc w:val="left"/>
      </w:pPr>
      <w:r>
        <w:rPr>
          <w:rFonts w:ascii="黑体" w:hAnsi="黑体" w:eastAsia="黑体"/>
          <w:b/>
          <w:sz w:val="24"/>
          <w:szCs w:val="24"/>
        </w:rPr>
        <w:t>9.5.5 Canton Network</w:t>
      </w:r>
    </w:p>
    <w:p w14:paraId="181D8CC5">
      <w:pPr>
        <w:pStyle w:val="6"/>
        <w:spacing w:before="0" w:after="0" w:line="360" w:lineRule="auto"/>
        <w:ind w:firstLine="420"/>
        <w:jc w:val="both"/>
        <w:rPr>
          <w:rFonts w:hint="eastAsia"/>
        </w:rPr>
      </w:pPr>
      <w:r>
        <w:rPr>
          <w:rFonts w:hint="eastAsia"/>
        </w:rPr>
        <w:t>Canton Network 代表的是另一种更接近“公共互操作层 + 机构隐私账本”的路线。传统公链的优势在于开放性、可组合性和统一流动性，但其默认全网可见的交易模型与金融机构的隐私、合规和商业保密需求存在天然冲突。传统联盟链则可以较好地控制成员、权限和数据可见范围，但往往形成一个个业务孤岛：某个银行联盟链、某个交易后处理链、某个债券发行链、某个抵押品网络之间难以原子互操作。Canton Network 试图解决的正是这一矛盾。它被定位为具有隐私能力的公共 Layer-1 或“网络的网络”，由 Digital Asset 推动，基于 Daml 智能合约语言和 Canton 协议构建。其基本思想不是让所有参与方复制同一份全局账本，而是让各机构或应用保留各自的参与节点、子账本和权限控制，同时通过共享同步层实现跨应用、跨资产、跨机构的原子交易。对于金融机构而言，这一设计回应了一个长期痛点：既希望资产和流程可组合，又不能把客户、头寸、交易对手和交易细节暴露给无关参与方。</w:t>
      </w:r>
    </w:p>
    <w:p w14:paraId="2B2083B2">
      <w:pPr>
        <w:pStyle w:val="6"/>
        <w:spacing w:before="0" w:after="0" w:line="360" w:lineRule="auto"/>
        <w:ind w:firstLine="420"/>
        <w:jc w:val="both"/>
        <w:rPr>
          <w:rFonts w:hint="eastAsia"/>
        </w:rPr>
      </w:pPr>
      <w:r>
        <w:rPr>
          <w:rFonts w:hint="eastAsia"/>
        </w:rPr>
        <w:t xml:space="preserve">  Canton 的核心机制是 need-to-know 隐私模型和 Global Synchronizer。与传统公链中所有验证者都能看到完整交易数据不同，Canton 将交易数据按参与关系选择性分发，只有与某项交易相关的参与方才能看到、验证和记录其应知部分；同步器负责排序、协调和确认加密消息，但不需要读取完整业务载荷。这样，两个机构之间的债券交割、抵押品划转、基金份额转让或稳定币支付，可以在保持隐私的同时与其他应用发生原子组合。Global</w:t>
      </w:r>
      <w:r>
        <w:rPr>
          <w:rFonts w:hint="eastAsia"/>
          <w:lang w:val="en-US" w:eastAsia="zh-CN"/>
        </w:rPr>
        <w:t xml:space="preserve"> </w:t>
      </w:r>
      <w:r>
        <w:rPr>
          <w:rFonts w:hint="eastAsia"/>
        </w:rPr>
        <w:t>Synchronizer 则提供跨独立应用和子网络的互操作能力，使不同参与者无需把控制权交给同一共享验证人池，也无需依赖传统跨链桥，就能实现交易级同步。Global Synchronizer 由独立组织运行的 Super Validators 参与，并采用 BFT 共识进行消息排序和治理投票，治理层面引入基金会结构以增强中立性。Canton 的应用价值在 RWA 和机构资产场景中尤为突出。例如，国债、货币市场基金、债券、回购、衍生品保证金和抵押品调拨都涉及多方协作和强隐私要求。资产发行方需要记录权属，投资者需要保护头寸，托管人需要满足监管报告，交易对手需要确认交割，监管者需要在授权条件下审计。Canton 的架构使这些参与方可以在不公开全部数据的情况下完成同步金融流程。Goldman Sachs、BNP Paribas、HSBC、DTCC、Deutsche Börse 等机构与 Canton 生态的连接，也说明其路线主要面向受监管资产和机构市场基础设施，而不是普通零售 DeFi。</w:t>
      </w:r>
    </w:p>
    <w:p w14:paraId="5E918868">
      <w:pPr>
        <w:pStyle w:val="6"/>
        <w:spacing w:before="0" w:after="0" w:line="360" w:lineRule="auto"/>
        <w:ind w:firstLine="420"/>
        <w:jc w:val="both"/>
      </w:pPr>
      <w:r>
        <w:rPr>
          <w:rFonts w:hint="eastAsia"/>
        </w:rPr>
        <w:t xml:space="preserve">  Canton Network 对联盟链的启示非常直接：未来机构链的关键竞争力可能不是“谁拥有一个封闭联盟”，而是谁能在保持各自控制权和隐私边界的同时实现跨机构组合。传统联盟链常常以成员准入解决信任问题，但当资产和业务跨越多个联盟、多个法域和多个系统时，单一联盟治理就会成为扩展瓶颈。Canton 通过 need-to-know 隐私和同步器机制，将隐私保护从“链外保密”提升为协议设计的一部分，也将互操作从“跨链桥转移资产”提升为“跨应用原子交易”。这对于国债、债券、基金、抵押品和稳定币融合具有重要意义。未来稳定币如果要成为机构资产交易的结算腿，就必须与 RWA、托管、合规身份和隐私交易流程结合；Canton 这类网络为“资产腿在机构隐私网络中流转、资金腿由稳定币或代币化存款完成结算”的模式提供了想象空间。当然，Canton 也面临生态复杂度、开发者门槛、治理中立性、性能验证和监管协调等挑战。Daml 与 Canton 协议不同于 EVM 主流生态，开发者和工具链迁移成本较高；其隐私和同步模型虽然适合机构金融，但也需要各类参与方共同理解并接受新的操作模式。总体看，Canton 并不是传统联盟链的简单升级，而是把联盟链的隐私控制、公链的可组合性和金融市场基础设施的中立治理重新组合，为跨机构协作提供了新的架构参考。</w:t>
      </w:r>
    </w:p>
    <w:p w14:paraId="7DD08F1C"/>
    <w:p w14:paraId="640C05D4">
      <w:pPr>
        <w:pStyle w:val="10"/>
        <w:spacing w:before="200" w:after="120" w:line="360" w:lineRule="auto"/>
        <w:jc w:val="left"/>
      </w:pPr>
      <w:r>
        <w:rPr>
          <w:rFonts w:ascii="KaiTi_GB2312" w:hAnsi="KaiTi_GB2312" w:eastAsia="KaiTi_GB2312"/>
          <w:sz w:val="28"/>
          <w:szCs w:val="28"/>
        </w:rPr>
        <w:t>9.6 联盟链发展趋势</w:t>
      </w:r>
    </w:p>
    <w:p w14:paraId="44AD7FAF">
      <w:pPr>
        <w:pStyle w:val="11"/>
        <w:spacing w:before="160" w:after="80" w:line="360" w:lineRule="auto"/>
        <w:jc w:val="left"/>
        <w:rPr>
          <w:rFonts w:ascii="黑体" w:hAnsi="黑体" w:eastAsia="黑体" w:cs="Times New Roman"/>
          <w:b/>
          <w:sz w:val="24"/>
          <w:szCs w:val="24"/>
        </w:rPr>
      </w:pPr>
      <w:r>
        <w:rPr>
          <w:rFonts w:ascii="黑体" w:hAnsi="黑体" w:eastAsia="黑体" w:cs="Times New Roman"/>
          <w:b/>
          <w:sz w:val="24"/>
          <w:szCs w:val="24"/>
        </w:rPr>
        <w:t>9.6.1 技术演进方向</w:t>
      </w:r>
    </w:p>
    <w:p w14:paraId="4C8FF446">
      <w:pPr>
        <w:pStyle w:val="6"/>
        <w:spacing w:before="0" w:after="0" w:line="360" w:lineRule="auto"/>
        <w:ind w:firstLine="420"/>
        <w:jc w:val="both"/>
        <w:rPr>
          <w:rFonts w:hint="eastAsia"/>
        </w:rPr>
      </w:pPr>
      <w:r>
        <w:rPr>
          <w:rFonts w:hint="eastAsia"/>
        </w:rPr>
        <w:t xml:space="preserve"> 当前联盟链面临的主要痛点集中在性能、隐私、扩展性和互操作四个方面。性能问题并不只是 TPS 不足，而是金融业务对确定性最终性、稳定延迟、批量处理和峰值结算能力的要求越来越高。跨境支付、商户批量结算、基金申赎、抵押品调拨和证券交割往往具有明确的时间窗口，系统不能只在实验环境中达到高吞吐，还要在节点故障、网络延迟、合规检查和链下系统交互中保持可预测性。隐私问题也不只是“数据是否加密”，而是如何在交易对手、托管方、监管者、审计方和市场其他参与者之间建立精细化可见范围。传统联盟链通常依靠通道、私有数据集合或成员权限控制实现隐私，但在跨联盟、跨应用、跨资产场景中，这些方法容易形成新的孤岛。扩展性则体现为业务快速变化与底层链僵硬架构之间的矛盾：每出现一个新资产、新业务或新监管要求，就重新部署一条专网，最终会导致系统维护成本和互操作成本上升。</w:t>
      </w:r>
    </w:p>
    <w:p w14:paraId="42D5896E">
      <w:pPr>
        <w:pStyle w:val="6"/>
        <w:spacing w:before="0" w:after="0" w:line="360" w:lineRule="auto"/>
        <w:ind w:firstLine="420"/>
        <w:jc w:val="both"/>
        <w:rPr>
          <w:rFonts w:hint="eastAsia"/>
        </w:rPr>
      </w:pPr>
      <w:r>
        <w:rPr>
          <w:rFonts w:hint="eastAsia"/>
        </w:rPr>
        <w:t xml:space="preserve">  从 Arc、Tempo、Kinexys 和 Canton 的案例可以看出，联盟链的技术演进正在向模块化、稳定价值原生、隐私可配置和跨网络同步四个方向发展。模块化意味着共识、执行、数据可用性、隐私计算、身份、合规和资产服务不再必须绑定在单一链栈中，而可以根据业务场景组合。Arc 采用 EVM 兼容执行层和高性能共识层组合，体现了复用开发者生态与优化金融最终性的平衡；Tempo 在 EVM 兼容基础上增加支付字段、费用赞助、并行交易和稳定币费用，说明支付业务需要专门的协议语义；Kinexys 则把链上资产、银行账户、基金运营和客户平台结合，显示联盟链必须与真实金融后台深度集成；Canton 通过 Global Synchronizer 和 need-to-know 隐私模型，展示了跨机构互操作可以不依赖全局公开账本。稳定价值原生则意味着未来金融链不应把 Gas、手续费和结算资产建立在高度波动的原生代币之上，稳定币、代币化存款和央行数字货币相关接口可能成为金融链的重要原语。隐私计算升级方面，选择性披露、零知识证明、安全多方计算、可信执行环境和交易级权限控制将与链上身份、审计和监管报送结合，而不是孤立存在。AI 融合也会进入联盟链运维和应用层，例如智能合约审计、异常交易监测、自动合规审查、链上信用评估和机器支付代理，但这些能力必须建立在可解释、可审计和可控权限之上，不能以黑箱自动化替代金融责任边界。</w:t>
      </w:r>
    </w:p>
    <w:p w14:paraId="531699DB">
      <w:pPr>
        <w:pStyle w:val="6"/>
        <w:spacing w:before="0" w:after="0" w:line="360" w:lineRule="auto"/>
        <w:ind w:firstLine="420"/>
        <w:jc w:val="both"/>
      </w:pPr>
      <w:r>
        <w:rPr>
          <w:rFonts w:hint="eastAsia"/>
        </w:rPr>
        <w:t xml:space="preserve">  因此，联盟链技术演进的核心不是单点指标提升，而是从“许可账本”转向“可组合金融操作系统”。未来系统需要同时支持确定性结算、稳定费用、资产原生发行、身份管理、隐私隔离、监管接口和跨网络原子交易。对于国内联盟链平台而言，这意味着长安链、FISCO BCOS、蚂蚁链、趣链等技术体系如果要进入更高层次的金融基础设施竞争，就需要从单链部署能力转向模块化金融组件能力：一方面继续保持国产密码、信创适配、监管可控和联盟治理优势；另一方面补足稳定价值结算、跨链资产互操作、隐私增强计算和国际标准接口。联盟链未来的竞争不再只是链底层性能竞争，而是围绕“谁能承载真实金融资产和真实支付流”的综合工程能力竞争。</w:t>
      </w:r>
    </w:p>
    <w:p w14:paraId="6E698B28"/>
    <w:p w14:paraId="5F04F29D">
      <w:pPr>
        <w:pStyle w:val="11"/>
        <w:spacing w:before="160" w:after="80" w:line="360" w:lineRule="auto"/>
        <w:jc w:val="left"/>
      </w:pPr>
      <w:r>
        <w:rPr>
          <w:rFonts w:ascii="黑体" w:hAnsi="黑体" w:eastAsia="黑体"/>
          <w:b/>
          <w:sz w:val="24"/>
          <w:szCs w:val="24"/>
        </w:rPr>
        <w:t>9.6.2 监管与合规</w:t>
      </w:r>
    </w:p>
    <w:p w14:paraId="1350DCC7"/>
    <w:p w14:paraId="6FA2336F">
      <w:pPr>
        <w:pStyle w:val="6"/>
        <w:spacing w:before="0" w:after="0" w:line="360" w:lineRule="auto"/>
        <w:ind w:firstLine="420"/>
        <w:jc w:val="both"/>
        <w:rPr>
          <w:rFonts w:hint="eastAsia" w:ascii="Times New Roman" w:hAnsi="Times New Roman" w:eastAsia="宋体"/>
          <w:sz w:val="21"/>
          <w:szCs w:val="21"/>
        </w:rPr>
      </w:pPr>
      <w:r>
        <w:rPr>
          <w:rFonts w:hint="eastAsia" w:ascii="Times New Roman" w:hAnsi="Times New Roman" w:eastAsia="宋体"/>
          <w:sz w:val="21"/>
          <w:szCs w:val="21"/>
        </w:rPr>
        <w:t>金融基础设施中的联盟链天然无法绕开监管。与普通互联网应用不同，支付、清算、证券、基金、抵押品和跨境资金流动都涉及货币主权、金融稳定、投资者保护、反洗钱、制裁合规、数据保护和系统重要性监管。过去一些区块链项目试图通过技术开放性削弱监管边界，但 Libra/Diem 的历史说明，金融基础设施的关键约束并不只来自技术性能。Libra 最初试图以一篮子货币支持的全球稳定币和联盟治理网络服务全球支付，但很快遭遇各国监管机构关于货币主权、资本流动、用户隐私、反洗钱和大型科技平台金融权力的强烈质疑。随后项目调整为 Diem，并缩小到美元稳定币和更强合规框架，但最终仍未能获得足够监管认可而终止。其教训在于：当区块链网络试图承载广泛支付和价值储存功能时，监管方关注的不是链是否先进，而是谁发行资产、储备如何管理、用户如何识别、风险由谁承担、数据由谁控制、出现挤兑或制裁事件时谁能执行责任。对于联盟链而言，这一教训尤其重要，因为联盟链往往以“成员可信”作为基础，但成员可信并不等于业务合规，技术许可也不等于金融许可。</w:t>
      </w:r>
    </w:p>
    <w:p w14:paraId="387C74F4">
      <w:pPr>
        <w:pStyle w:val="6"/>
        <w:spacing w:before="0" w:after="0" w:line="360" w:lineRule="auto"/>
        <w:ind w:firstLine="420"/>
        <w:jc w:val="both"/>
        <w:rPr>
          <w:rFonts w:hint="eastAsia" w:ascii="Times New Roman" w:hAnsi="Times New Roman" w:eastAsia="宋体"/>
          <w:sz w:val="21"/>
          <w:szCs w:val="21"/>
        </w:rPr>
      </w:pPr>
      <w:r>
        <w:rPr>
          <w:rFonts w:hint="eastAsia" w:ascii="Times New Roman" w:hAnsi="Times New Roman" w:eastAsia="宋体"/>
          <w:sz w:val="21"/>
          <w:szCs w:val="21"/>
        </w:rPr>
        <w:t xml:space="preserve">  美国和欧盟在稳定币与数字资产监管上呈现出不同但趋于细化的路径。美国监管长期由多机构共同作用，涉及 SEC、CFTC、FinCEN、OCC、美联储和州级监管体系，稳定币政策则围绕发行人资质、储备资产、赎回权、银行与非银行发行边界、支付稳定币是否可由受监管机构持有和使用等问题展开。对于 Arc、Tempo、Plasma 这类稳定币原生链而言，美国监管的关键影响在于：链上资产是否属于合规发行稳定币，支付机构能否直接接入，KYC、AML、制裁筛查和 Travel Rule 如何落实，跨境收付款是否触及汇款牌照和银行监管。欧盟 MiCA 则提供了更系统的加密资产监管框架，对电子货币代币、资产参考代币、发行人义务、储备管理、白皮书披露和服务商许可提出要求。欧盟路径的特点是规则框架更统一，但对发行、流通和服务商责任划分更明确。对联盟链而言，欧盟监管强调的是可识别责任主体、合规发行、消费者保护和跨境服务一致性。相比之下，中国对区块链与数字资产采取更强监管和更审慎的金融边界管理。中国鼓励联盟链、可信数据流通、数字人民币、供应链金融、司法存证和产业协作，但对虚拟货币交易、代币融资和境内稳定币流通保持严格限制。同时，中国金融科技基础设施强调信创优先、数据安全、关键信息基础设施保护、密码合规、金融牌照管理和监管穿透。由此，中外联盟链发展路径出现明显差异：美国和欧盟更可能在稳定币、代币化基金和公私混合链上形成市场化试验，中国则更强调在受许可、受监管和自主可控环境中推进产业链、金融链和数据链融合。</w:t>
      </w:r>
    </w:p>
    <w:p w14:paraId="762A731A">
      <w:pPr>
        <w:pStyle w:val="6"/>
        <w:spacing w:before="0" w:after="0" w:line="360" w:lineRule="auto"/>
        <w:ind w:firstLine="420"/>
        <w:jc w:val="both"/>
      </w:pPr>
      <w:r>
        <w:rPr>
          <w:rFonts w:hint="eastAsia" w:ascii="Times New Roman" w:hAnsi="Times New Roman" w:eastAsia="宋体"/>
          <w:sz w:val="21"/>
          <w:szCs w:val="21"/>
        </w:rPr>
        <w:t xml:space="preserve">  KYC、AML 和合规技术将成为联盟链下一阶段的核心组件，而不是外围功能。KYC 解决的是参与主体身份识别和资格验证问题，包括个人、企业、金融机构、合格投资者和受限司法辖区用户；AML 解决的是资金来源、交易行为、风险评分、可疑活动报告和制裁名单筛查问题；Travel Rule 则要求虚拟资产服务商在特定交易中传递汇款人和收款人信息。传统公链通常把这些能力放在交易所、托管机构和应用前端，链本身保持中立；但金融级联盟链和稳定币专用链很难完全回避协议层或平台层合规语义。Arc 的选择性披露、Tempo 的政策注册和支付元数据、Kinexys 的银行客户体系、Canton 的 need-to-know 隐私模型，都体现了合规技术正在从链下运营流程进入链上架构。中外监管差异也会深刻影响联盟链治理。美国和欧盟更关注发行人责任、金融服务商许可和跨境合规，中国更关注基础设施可控、数据本地化、金融风险隔离和监管实时穿透。因此，在中国语境下建设下一代联盟链，不能简单照搬稳定币原生公链模式，而应将数字人民币、代币化存款、银行间支付、供应链金融、跨境贸易和可信数据空间结合起来，形成符合法律边界的可审计网络。在全球语境下，联盟链则需要面对多法域合规互认问题：一个链上资产能否在不同司法辖区被承认为证券、基金份额、支付工具或电子货币，决定了它能否真正跨境流动。</w:t>
      </w:r>
    </w:p>
    <w:p w14:paraId="100E3D52">
      <w:pPr>
        <w:pStyle w:val="11"/>
        <w:spacing w:before="160" w:after="80" w:line="360" w:lineRule="auto"/>
        <w:jc w:val="left"/>
      </w:pPr>
      <w:r>
        <w:rPr>
          <w:rFonts w:ascii="黑体" w:hAnsi="黑体" w:eastAsia="黑体"/>
          <w:b/>
          <w:sz w:val="24"/>
          <w:szCs w:val="24"/>
        </w:rPr>
        <w:t>9.6.3 未来展望</w:t>
      </w:r>
    </w:p>
    <w:p w14:paraId="733CC814">
      <w:pPr>
        <w:pStyle w:val="6"/>
        <w:spacing w:before="0" w:after="0" w:line="360" w:lineRule="auto"/>
        <w:ind w:firstLine="42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rPr>
        <w:t>面向下一代金融基础设施，联盟链将不再是单纯的企业级区块链部署形态，而会与稳定币专用链、隐私公共链、代币化资产平台和传统支付清算系统共同演化。高性能稳定币结算要求链能够提供低成本、低延迟、稳定费用和跨境可用性；机构级监管合规要求链能够提供身份、权限、审计、冻结、披露、报告和风险控制能力；隐私增强互操作要求链能够在保护商业秘密和客户数据的同时，实现资产、资金和合约流程的跨机构组合。Arc、Tempo、Plasma、Kinexys 和 Canton 的共同信号是：未来金融链的竞争不再发生在“公链与联盟链谁取代谁”这一简单问题上，而是在不同信任模型、资产模型和监管模型之间寻找可落地组合。</w:t>
      </w:r>
    </w:p>
    <w:p w14:paraId="15BDB79E">
      <w:pPr>
        <w:pStyle w:val="6"/>
        <w:spacing w:before="0" w:after="0" w:line="360" w:lineRule="auto"/>
        <w:ind w:firstLine="420"/>
        <w:jc w:val="both"/>
      </w:pPr>
      <w:r>
        <w:rPr>
          <w:rFonts w:hint="eastAsia" w:ascii="Times New Roman" w:hAnsi="Times New Roman" w:eastAsia="宋体"/>
          <w:sz w:val="21"/>
          <w:szCs w:val="21"/>
        </w:rPr>
        <w:t xml:space="preserve">  主要风险仍然不可低估。稳定币原生链面临发行人集中、监管变化和流动性迁移风险；银行主导链面临生态封闭和互操作不足风险；隐私公共链面临开发复杂度、治理中立性和监管理解成本；传统联盟链则面临资产不足、场景有限和国际连接能力弱的问题。更现实的发展路径不是追逐境外稳定币链，而是在合规边界内加强信创联盟链、数字人民币、跨境贸易金融、RWA 合规登记、供应链票据和可信数据流通的结合，逐步提升跨机构结算和跨境协作能力。对于全球市场而言，稳定币、代币化存款、RWA 和隐私互操作将共同推动金融基础设施上链，但其成败取决于技术、监管、资产流动性和机构治理能否同步成熟。联盟链的未来价值，也将取决于它能否从“封闭可信账本”升级为“可监管、可互操作、可承载真实资产的金融协作网络”。</w:t>
      </w:r>
      <w:bookmarkStart w:id="0" w:name="_GoBack"/>
      <w:bookmarkEnd w:id="0"/>
    </w:p>
    <w:sectPr>
      <w:pgSz w:w="11906" w:h="16838"/>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KaiTi_GB2312">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A5DC384"/>
    <w:rsid w:val="31EFCEA3"/>
    <w:rsid w:val="6DFA2DE8"/>
    <w:rsid w:val="AFFF618A"/>
    <w:rsid w:val="BAFB3445"/>
    <w:rsid w:val="BEFF85E9"/>
    <w:rsid w:val="DF7FC7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6">
    <w:name w:val="BodyText"/>
    <w:qFormat/>
    <w:uiPriority w:val="0"/>
    <w:rPr>
      <w:rFonts w:ascii="Times New Roman" w:hAnsi="Times New Roman" w:eastAsia="宋体"/>
      <w:sz w:val="21"/>
      <w:szCs w:val="21"/>
    </w:rPr>
  </w:style>
  <w:style w:type="paragraph" w:customStyle="1" w:styleId="7">
    <w:name w:val="DocTitle"/>
    <w:qFormat/>
    <w:uiPriority w:val="0"/>
    <w:rPr>
      <w:rFonts w:ascii="宋体" w:hAnsi="宋体" w:eastAsia="宋体"/>
      <w:b/>
      <w:sz w:val="36"/>
      <w:szCs w:val="36"/>
    </w:rPr>
  </w:style>
  <w:style w:type="paragraph" w:customStyle="1" w:styleId="8">
    <w:name w:val="ListParagraph"/>
    <w:qFormat/>
    <w:uiPriority w:val="0"/>
    <w:rPr>
      <w:rFonts w:ascii="Times New Roman" w:hAnsi="Times New Roman" w:eastAsia="宋体"/>
      <w:sz w:val="21"/>
      <w:szCs w:val="21"/>
    </w:rPr>
  </w:style>
  <w:style w:type="paragraph" w:customStyle="1" w:styleId="9">
    <w:name w:val="Heading1"/>
    <w:qFormat/>
    <w:uiPriority w:val="0"/>
    <w:rPr>
      <w:rFonts w:ascii="宋体" w:hAnsi="宋体" w:eastAsia="宋体"/>
      <w:b/>
      <w:sz w:val="32"/>
      <w:szCs w:val="32"/>
    </w:rPr>
  </w:style>
  <w:style w:type="paragraph" w:customStyle="1" w:styleId="10">
    <w:name w:val="Heading2"/>
    <w:qFormat/>
    <w:uiPriority w:val="0"/>
    <w:rPr>
      <w:rFonts w:ascii="KaiTi_GB2312" w:hAnsi="KaiTi_GB2312" w:eastAsia="KaiTi_GB2312"/>
      <w:sz w:val="28"/>
      <w:szCs w:val="28"/>
    </w:rPr>
  </w:style>
  <w:style w:type="paragraph" w:customStyle="1" w:styleId="11">
    <w:name w:val="Heading3"/>
    <w:qFormat/>
    <w:uiPriority w:val="0"/>
    <w:rPr>
      <w:rFonts w:ascii="黑体" w:hAnsi="黑体" w:eastAsia="黑体"/>
      <w:b/>
      <w:sz w:val="24"/>
      <w:szCs w:val="24"/>
    </w:rPr>
  </w:style>
  <w:style w:type="paragraph" w:customStyle="1" w:styleId="12">
    <w:name w:val="Heading4"/>
    <w:qFormat/>
    <w:uiPriority w:val="0"/>
    <w:rPr>
      <w:rFonts w:ascii="宋体" w:hAnsi="宋体" w:eastAsia="宋体"/>
      <w:b/>
      <w:sz w:val="24"/>
      <w:szCs w:val="24"/>
    </w:rPr>
  </w:style>
  <w:style w:type="paragraph" w:customStyle="1" w:styleId="13">
    <w:name w:val="p2"/>
    <w:basedOn w:val="1"/>
    <w:uiPriority w:val="0"/>
    <w:pPr>
      <w:spacing w:before="0" w:beforeAutospacing="0" w:after="0" w:afterAutospacing="0"/>
      <w:ind w:left="0" w:right="0"/>
      <w:jc w:val="left"/>
    </w:pPr>
    <w:rPr>
      <w:rFonts w:ascii="menlo" w:hAnsi="menlo" w:eastAsia="menlo" w:cs="menlo"/>
      <w:color w:val="000000"/>
      <w:kern w:val="0"/>
      <w:sz w:val="32"/>
      <w:szCs w:val="32"/>
      <w:lang w:val="en-US" w:eastAsia="zh-CN" w:bidi="ar"/>
    </w:rPr>
  </w:style>
  <w:style w:type="paragraph" w:customStyle="1" w:styleId="14">
    <w:name w:val="p1"/>
    <w:basedOn w:val="1"/>
    <w:uiPriority w:val="0"/>
    <w:pPr>
      <w:spacing w:before="0" w:beforeAutospacing="0" w:after="0" w:afterAutospacing="0"/>
      <w:ind w:left="0" w:right="0"/>
      <w:jc w:val="left"/>
    </w:pPr>
    <w:rPr>
      <w:rFonts w:hint="default" w:ascii="menlo" w:hAnsi="menlo" w:eastAsia="menlo" w:cs="menlo"/>
      <w:color w:val="000000"/>
      <w:kern w:val="0"/>
      <w:sz w:val="32"/>
      <w:szCs w:val="32"/>
      <w:lang w:val="en-US" w:eastAsia="zh-CN" w:bidi="ar"/>
    </w:rPr>
  </w:style>
  <w:style w:type="character" w:customStyle="1" w:styleId="15">
    <w:name w:val="s1"/>
    <w:basedOn w:val="5"/>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142</TotalTime>
  <ScaleCrop>false</ScaleCrop>
  <LinksUpToDate>false</LinksUpToDate>
  <Application>WPS Office_12.1.21861.21861_F1E327BC-269C-435d-A152-05C5408002CA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2026-05-15T16:38:45Z</dcterms:created>
  <dc:creator>Codex</dc:creator>
  <cp:lastModifiedBy>望穿</cp:lastModifiedBy>
  <dcterms:modified xsi:type="dcterms:W3CDTF">2026-05-15T19:22:45Z</dcterms:modified>
  <dc:title>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20F3764A725EB61592E9066A0D6D334C_42</vt:lpwstr>
  </property>
</Properties>
</file>