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3"/>
        <w:jc w:val="left"/>
        <w:spacing w:before="160" w:after="80" w:line="360" w:lineRule="auto"/>
      </w:pPr>
      <w:r>
        <w:rPr>
          <w:rFonts w:ascii="SimHei" w:hAnsi="SimHei" w:eastAsia="SimHei"/>
          <w:b/>
          <w:sz w:val="24"/>
          <w:szCs w:val="24"/>
        </w:rPr>
        <w:t>9.5.1 Arc：稳定币原生 Layer-1</w:t>
      </w:r>
    </w:p>
    <w:p/>
    <w:p>
      <w:pPr>
        <w:pStyle w:val="BodyText"/>
        <w:jc w:val="both"/>
        <w:spacing w:before="0" w:after="0" w:line="360" w:lineRule="auto"/>
        <w:ind w:firstLine="420"/>
      </w:pPr>
      <w:r>
        <w:rPr>
          <w:rFonts w:ascii="Times New Roman" w:hAnsi="Times New Roman" w:eastAsia="SimSun"/>
          <w:sz w:val="21"/>
          <w:szCs w:val="21"/>
        </w:rPr>
        <w:t>Arc 的出现，反映出稳定币基础设施正在从“在既有公链上发行和流通资产”，转向“围绕稳定币金融重新设计底层网络”。早期公链证明了开放账本、可编程资产和全球结算的可行性，但当支付机构、银行、资产管理人和跨境贸易平台尝试把稳定币用于日常业务时，仍会遇到一组典型约束：交易费用通常以波动性原生代币计价，企业很难把链上费用纳入稳定预算；结算最终性在部分网络上依赖概率确认，资金是否可以视为不可撤销需要等待多个区块；交易数据在公共网络上过度暴露，难以同时满足商业隐私、客户保护和监管审计；稳定币流动性分散在多条链上，跨链调拨、外汇兑换和资金归集往往依赖桥、托管方或额外中间层。Arc 正是在这一背景下由 Circle 推出，并被定位为面向稳定币金融的开放 Layer-1。它的目标不是简单再造一个通用公链生态，而是围绕稳定币支付、外汇兑换、资本市场结算和代币化资产发行，提供更接近金融基础设施需求的链上执行环境。Circle 在 Arc 中的战略角色也十分关键。USDC 已经是 Circle 最核心的稳定币资产，Circle Payments Network、Mint、Wallets、Contracts、CCTP、Gateway、Paymaster 等产品构成了围绕发行、流通、跨链、支付和开发者接入的服务栈。Arc 的意义在于把这些能力从“运行在多条外部链上的稳定币应用层”，进一步推进到“围绕稳定币设计的底层网络”。截至2026年5月，Arc 仍应按公开测试网和产品路线中的新兴金融基础设施来理解，不能写成已经完全成熟的大规模生产主网。它更准确的价值在于提出了一种问题意识：当稳定币从加密交易媒介走向企业支付、机构结算和 RWA 流通时，底层链本身也需要围绕稳定币的成本、速度、隐私和合规约束重新设计。</w:t>
      </w:r>
    </w:p>
    <w:p/>
    <w:p>
      <w:pPr>
        <w:pStyle w:val="BodyText"/>
        <w:jc w:val="both"/>
        <w:spacing w:before="0" w:after="0" w:line="360" w:lineRule="auto"/>
        <w:ind w:firstLine="420"/>
      </w:pPr>
      <w:r>
        <w:rPr>
          <w:rFonts w:ascii="Times New Roman" w:hAnsi="Times New Roman" w:eastAsia="SimSun"/>
          <w:sz w:val="21"/>
          <w:szCs w:val="21"/>
        </w:rPr>
        <w:t>从技术架构看，Arc 采用共识层与执行层分离的设计。共识层基于 Malachite，这是一个 Rust 实现的 Tendermint BFT 共识引擎，用于对区块排序、验证并提供确定性最终性。Arc 文档将其描述为 Tendermint-based Proof-of-Authority 模型，即验证者集合具有许可属性，验证者由已知机构组成，并承担运行、合规和声誉约束。这种设计不同于完全开放的匿名验证者网络，它牺牲了一部分无许可验证者准入，却换取了更明确的机构责任边界、更低延迟的结算体验以及更接近金融市场基础设施的可问责性。在共识流程上，Malachite 延续 Tendermint 的提议、预投票、预提交和提交机制，当超过三分之二验证者对同一区块达成预提交后，该区块即被最终确认。对支付、外汇和清算应用而言，确定性最终性的工程意义非常直接：应用不需要像面对概率最终性的链那样等待多个确认，也不需要复杂处理链重组、回滚和重复入账。执行层则基于 Reth，即 Rust 实现的 Ethereum 执行客户端，负责维护账户、余额、合约代码、交易历史和状态根，并提供 EVM 兼容环境。Arc 在 Reth 基础上加入面向稳定币金融的模块，包括费用管理、隐私模块和稳定币服务。一方面，EVM 兼容降低了 Solidity 合约、Hardhat、Foundry、Viem 等工具链的迁移成本；另一方面，Reth 的模块化与 Rust 工程栈为高性能执行、状态管理和金融扩展提供了更明确的改造空间。Arc 最具辨识度的设计是以 USDC 作为原生 Gas，使交易成本以美元稳定币计价。传统公链要求用户持有 ETH、SOL 或其他原生资产支付手续费，对加密原生用户并不陌生，但对企业财务、商户收单、跨境支付和机构清算而言，会带来预算、会计和风险管理问题。Arc 把交易费用锚定在美元计价的稳定币上，目标是让用户和机构用熟悉的货币单位理解链上成本。配合可配置隐私、内置外汇和稳定币服务，Arc 试图把高频、基础、合规敏感的金融功能下沉为网络原生组件，而不是要求每个应用在智能合约层重复建设。</w:t>
      </w:r>
    </w:p>
    <w:p/>
    <w:p>
      <w:pPr>
        <w:pStyle w:val="BodyText"/>
        <w:jc w:val="both"/>
        <w:spacing w:before="0" w:after="0" w:line="360" w:lineRule="auto"/>
        <w:ind w:firstLine="420"/>
      </w:pPr>
      <w:r>
        <w:rPr>
          <w:rFonts w:ascii="Times New Roman" w:hAnsi="Times New Roman" w:eastAsia="SimSun"/>
          <w:sz w:val="21"/>
          <w:szCs w:val="21"/>
        </w:rPr>
        <w:t>Arc 的优势在于，它把费用稳定性、确定性最终性、EVM 兼容、Circle 平台集成和机构级隐私需求放在同一个网络设计中处理。对于跨境支付、机构清算、链上信用和 RWA 结算而言，这种设计可以降低应用对链重组、Gas 波动、跨链割裂和隐私泄露的处理成本。2026 年 Circle 产品愿景和公开测试网资料显示，Arc 已经吸引支付、资本市场、稳定币发行、DeFi 协议、托管、钱包、开发工具和基础设施服务商参与测试与集成探索，相关场景覆盖 lending、capital markets、FX、global payments、tokenized funds 和 stablecoin swaps 等方向。这些案例说明 Arc 的生态正在围绕真实金融工作流进行验证，但仍应谨慎表述为测试网生态、产品路线和场景共创，而不是已经完成大规模生产迁移。它面临的挑战同样明显。许可验证者集合提升了机构可问责性，却也会引发治理中立性、验证者扩展和抗审查能力方面的讨论；USDC 与 Circle 平台的深度集成带来产品协同，也使网络对单一发行方和商业生态的依赖更高；隐私机制需要在用户保护、监管可见性和链上可组合性之间取得平衡，任何一端处理不当都可能削弱机构信任或开发者体验。对传统联盟链而言，Arc 的借鉴价值不在于简单复制公链开放模式，而在于提示下一代金融链应同时考虑多机构责任、稳定币结算、可审计隐私、开发者生态和跨网络互操作。过去联盟链常把重点放在准入控制、节点治理和数据隔离上，却容易忽视资产流动性、应用生态和外部可组合性。Arc 表明，未来金融基础设施的边界可能不再由“公链或联盟链”简单划分，而会更多取决于谁负责验证、谁承担合规责任、资产如何发行、数据如何披露、费用如何计价以及结算最终性如何被证明。</w:t>
      </w:r>
    </w:p>
    <w:p>
      <w:pPr>
        <w:pStyle w:val="Heading3"/>
        <w:jc w:val="left"/>
        <w:spacing w:before="160" w:after="80" w:line="360" w:lineRule="auto"/>
      </w:pPr>
      <w:r>
        <w:rPr>
          <w:rFonts w:ascii="SimHei" w:hAnsi="SimHei" w:eastAsia="SimHei"/>
          <w:b/>
          <w:sz w:val="24"/>
          <w:szCs w:val="24"/>
        </w:rPr>
        <w:t>9.5.2 Tempo：支付优先的稳定币 Layer-1</w:t>
      </w:r>
    </w:p>
    <w:p/>
    <w:p>
      <w:pPr>
        <w:pStyle w:val="BodyText"/>
        <w:jc w:val="both"/>
        <w:spacing w:before="0" w:after="0" w:line="360" w:lineRule="auto"/>
        <w:ind w:firstLine="420"/>
      </w:pPr>
      <w:r>
        <w:rPr>
          <w:rFonts w:ascii="Times New Roman" w:hAnsi="Times New Roman" w:eastAsia="SimSun"/>
          <w:sz w:val="21"/>
          <w:szCs w:val="21"/>
        </w:rPr>
        <w:t>Tempo 的出现，反映出稳定币基础设施正在从“可在链上转账”转向“能承载大规模支付业务”。Stripe 长期服务于商户收单、平台分账、跨境结算和开发者支付接口，因此更关注交易成功率、费用可预测性、对账效率和全球可用性。传统公链虽然提供开放结算环境，但费用波动、确认延迟、缺少支付元数据、需要额外持有原生 Gas 资产等问题，会直接增加企业接入成本。Tempo 正是在这一背景下，由 Stripe 与 Paradigm 共同孵化，试图把稳定币支付从通用公链上的一个应用提升为底层网络的核心设计目标。与 Circle Arc 相比，Tempo 的定位更偏“支付优先”，并强调稳定币中立，允许不同稳定币发行方和支付应用在同一支付优化环境中运行。Paradigm 提供 Reth、链上执行和协议工程能力，Stripe 则提供支付业务经验、商户网络和真实支付场景理解。两者合作的关键不只是资本或品牌背书，而是把互联网支付系统的工程约束引入 Layer-1 设计。</w:t>
      </w:r>
    </w:p>
    <w:p/>
    <w:p>
      <w:pPr>
        <w:pStyle w:val="BodyText"/>
        <w:jc w:val="both"/>
        <w:spacing w:before="0" w:after="0" w:line="360" w:lineRule="auto"/>
        <w:ind w:firstLine="420"/>
      </w:pPr>
      <w:r>
        <w:rPr>
          <w:rFonts w:ascii="Times New Roman" w:hAnsi="Times New Roman" w:eastAsia="SimSun"/>
          <w:sz w:val="21"/>
          <w:szCs w:val="21"/>
        </w:rPr>
        <w:t>从技术路线看，Tempo 是 EVM 兼容基础上的支付专用优化。根据官方资料，Tempo 构建在 Reth 相关技术栈之上，并采用 Simplex BFT 共识以实现确定性、亚秒级最终性。Tempo 官网披露其区块最终性约为0.6秒，早期介绍中还提出 100K+ TPS 的扩展目标；主网 Gas 参数文档则把初始支付交易能力校准在约 20,000 TPS。写作时需要区分设计目标、测试指标和主网初始配置，不能把最高目标直接等同为长期生产能力。Tempo 的关键创新还包括 dedicated payment lanes，即为 TIP-20 稳定币转账等支付交易预留协议级区块空间，使支付业务在网络活动升高时仍能获得更稳定的处理能力。与此同时，用户可以用支持的美元稳定币支付交易费用，协议通过 Fee AMM 在用户选择的费用资产与验证者偏好的资产之间完成转换。对企业而言，这意味着支付本金和链上费用可以使用同一类稳定价值资产管理，不必为了转账稳定币而额外准备 ETH、SOL 等波动性资产。TIP-20 标准还加入了货币标识、费用支付能力、32 字节 memo 字段和合规策略接口，使链上支付更容易与订单号、发票、客户账户或 ERP 记录对应起来。</w:t>
      </w:r>
    </w:p>
    <w:p/>
    <w:p>
      <w:pPr>
        <w:pStyle w:val="BodyText"/>
        <w:jc w:val="both"/>
        <w:spacing w:before="0" w:after="0" w:line="360" w:lineRule="auto"/>
        <w:ind w:firstLine="420"/>
      </w:pPr>
      <w:r>
        <w:rPr>
          <w:rFonts w:ascii="Times New Roman" w:hAnsi="Times New Roman" w:eastAsia="SimSun"/>
          <w:sz w:val="21"/>
          <w:szCs w:val="21"/>
        </w:rPr>
        <w:t>在跨境支付和商户结算场景中，Tempo 的价值主要体现在资金可用性、结算确定性和对账友好性上。稳定币可以减少代理行、当地清算系统和营业时间带来的摩擦，但如果底层链费用波动或确认时间不稳定，支付服务商仍难以向用户承诺体验。Tempo 通过亚秒级最终性、稳定币费用、支付通道、TIP-20 memo 字段和内置稳定币 DEX，使汇款、全球 payout、平台分账和订单结算更接近实时 API 服务。对电商平台或 SaaS 市场而言，链上稳定币支付不能只解决“买家付款给卖家”，还要支持订单关联、手续费扣除、平台抽佣、跨币种兑换和合规审查。从公开资料看，Visa、Shopify、Revolut、Deutsche Bank、Nubank、Standard Chartered 等机构曾作为设计伙伴参与验证，这些案例更适合表述为支付场景共创和网络验证，而不是已经全面迁移的生产结算。Tempo 的生态价值在于，它把稳定币支付的竞争从单一钱包、收单产品或链上应用推进到底层结算网络层面；对联盟链支付能力而言，它提示支付型链不应只追求“能转账”，还应围绕稳定费用、快速最终性、交易元数据、批量处理、隐私和合规接口重构底层协议。其挑战也同样清晰，包括真实交易量转化、多稳定币流动性管理、验证者治理、监管适配以及支付专用优化与开放生态之间的平衡。</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eastAsia="SimSun"/>
      </w:rPr>
    </w:rPrDefault>
  </w:docDefaults>
  <w:style w:type="paragraph" w:styleId="BodyText">
    <w:name w:val="BodyText"/>
    <w:qFormat/>
    <w:rPr>
      <w:rFonts w:ascii="Times New Roman" w:hAnsi="Times New Roman" w:eastAsia="SimSun"/>
      <w:sz w:val="21"/>
      <w:szCs w:val="21"/>
    </w:rPr>
  </w:style>
  <w:style w:type="paragraph" w:styleId="DocTitle">
    <w:name w:val="DocTitle"/>
    <w:qFormat/>
    <w:rPr>
      <w:rFonts w:ascii="SimSun" w:hAnsi="SimSun" w:eastAsia="SimSun"/>
      <w:b/>
      <w:sz w:val="36"/>
      <w:szCs w:val="36"/>
    </w:rPr>
  </w:style>
  <w:style w:type="paragraph" w:styleId="ListParagraph">
    <w:name w:val="ListParagraph"/>
    <w:qFormat/>
    <w:rPr>
      <w:rFonts w:ascii="Times New Roman" w:hAnsi="Times New Roman" w:eastAsia="SimSun"/>
      <w:sz w:val="21"/>
      <w:szCs w:val="21"/>
    </w:rPr>
  </w:style>
  <w:style w:type="paragraph" w:styleId="Heading1">
    <w:name w:val="Heading1"/>
    <w:qFormat/>
    <w:rPr>
      <w:rFonts w:ascii="SimSun" w:hAnsi="SimSun" w:eastAsia="SimSun"/>
      <w:b/>
      <w:sz w:val="32"/>
      <w:szCs w:val="32"/>
    </w:rPr>
  </w:style>
  <w:style w:type="paragraph" w:styleId="Heading2">
    <w:name w:val="Heading2"/>
    <w:qFormat/>
    <w:rPr>
      <w:rFonts w:ascii="KaiTi_GB2312" w:hAnsi="KaiTi_GB2312" w:eastAsia="KaiTi_GB2312"/>
      <w:sz w:val="28"/>
      <w:szCs w:val="28"/>
    </w:rPr>
  </w:style>
  <w:style w:type="paragraph" w:styleId="Heading3">
    <w:name w:val="Heading3"/>
    <w:qFormat/>
    <w:rPr>
      <w:rFonts w:ascii="SimHei" w:hAnsi="SimHei" w:eastAsia="SimHei"/>
      <w:b/>
      <w:sz w:val="24"/>
      <w:szCs w:val="24"/>
    </w:rPr>
  </w:style>
  <w:style w:type="paragraph" w:styleId="Heading4">
    <w:name w:val="Heading4"/>
    <w:qFormat/>
    <w:rPr>
      <w:rFonts w:ascii="SimSun" w:hAnsi="SimSun" w:eastAsia="SimSun"/>
      <w:b/>
      <w:sz w:val="24"/>
      <w:szCs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Codex</dc:creator>
</cp:coreProperties>
</file>