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jc w:val="center"/>
        <w:spacing w:before="0" w:after="240" w:line="360" w:lineRule="auto"/>
      </w:pPr>
      <w:r>
        <w:rPr>
          <w:rFonts w:ascii="SimHei" w:hAnsi="SimHei" w:eastAsia="SimHei"/>
          <w:b/>
          <w:sz w:val="32"/>
          <w:szCs w:val="32"/>
        </w:rPr>
        <w:t>9.5.3 Plasma</w:t>
      </w:r>
    </w:p>
    <w:p/>
    <w:p>
      <w:pPr>
        <w:pStyle w:val="BodyText"/>
        <w:jc w:val="both"/>
        <w:spacing w:before="0" w:after="0" w:line="360" w:lineRule="auto"/>
        <w:ind w:firstLine="480"/>
      </w:pPr>
      <w:r>
        <w:rPr>
          <w:rFonts w:ascii="Times New Roman" w:hAnsi="Times New Roman" w:eastAsia="SimSun"/>
          <w:sz w:val="24"/>
          <w:szCs w:val="24"/>
        </w:rPr>
        <w:t>Plasma 的出现，反映了稳定币基础设施从“寄居在通用公链上”向“为支付场景专门设计”演进的趋势。USDT 长期占据全球稳定币流通的核心位置，在交易所结算、跨境转账、链上美元流动性和新兴市场支付中承担事实上的数字美元通道功能。过去，USDT 的大规模流通主要依赖以太坊、Tron、TON、Arbitrum 等网络，不同网络在费用、确认速度、拥堵风险、开发生态和治理结构上各有取舍。Plasma 正是在这一背景下被提出：它以 USDT 为中心，构建面向高频、小额、全球化支付的底层网络，使稳定币转账不再只是通用智能合约平台上的一个应用，而成为链本身的基础设计目标。根据 Plasma 官方在 2025 年披露的信息，该项目获得 Framework、Bitfinex/USD₮0 等支持，并将 USD₮0 作为跨链 USDT 扩展的重要入口，试图把分散在多条链上的流动性接入同一套支付友好的基础设施。</w:t>
      </w:r>
    </w:p>
    <w:p/>
    <w:p>
      <w:pPr>
        <w:pStyle w:val="BodyText"/>
        <w:jc w:val="both"/>
        <w:spacing w:before="0" w:after="0" w:line="360" w:lineRule="auto"/>
        <w:ind w:firstLine="480"/>
      </w:pPr>
      <w:r>
        <w:rPr>
          <w:rFonts w:ascii="Times New Roman" w:hAnsi="Times New Roman" w:eastAsia="SimSun"/>
          <w:sz w:val="24"/>
          <w:szCs w:val="24"/>
        </w:rPr>
        <w:t>从技术路线看，Plasma 更接近稳定币原生的高性能 Layer 1。其核心设计包括 Fast HotStuff 衍生的 PlasmaBFT 共识、基于 Reth 的 EVM 执行层、与比特币安全层相关的状态锚定，以及围绕 USDT 转账体验设计的费用模型。PlasmaBFT 采用拜占庭容错共识思路，目标是在开放验证者网络中提供较低延迟和较快最终性；Reth/EVM 兼容层则降低以太坊开发者迁移智能合约、钱包、桥接和 DeFi 应用的成本。比特币侧链元素的意义在于为稳定币支付网络引入更强的最终结算叙事：Plasma 可以在自身执行环境中处理大量交易，并通过外部锚定增强状态可验证性。Tron 上 USDT 的高频流转说明用户对低成本、快速确认有强需求；以太坊上 USDT 的机构流动性则说明安全性、合约生态和资本深度同样重要。Plasma 试图在二者之间寻找组合：用支付网络式费用结构承接日常转账，用 EVM 兼容性吸引金融应用，用比特币锚定强化长期结算信任。</w:t>
      </w:r>
    </w:p>
    <w:p/>
    <w:p>
      <w:pPr>
        <w:pStyle w:val="BodyText"/>
        <w:jc w:val="both"/>
        <w:spacing w:before="0" w:after="0" w:line="360" w:lineRule="auto"/>
        <w:ind w:firstLine="480"/>
      </w:pPr>
      <w:r>
        <w:rPr>
          <w:rFonts w:ascii="Times New Roman" w:hAnsi="Times New Roman" w:eastAsia="SimSun"/>
          <w:sz w:val="24"/>
          <w:szCs w:val="24"/>
        </w:rPr>
        <w:t>Plasma 的市场影响首先体现在竞争格局上。若稳定币发行方、交易所、钱包、支付服务商和跨链协议把 USDT 流动性持续导入专门链，通用公链依赖稳定币转账形成的手续费收入和用户入口可能被分流，稳定币也会从应用资产进一步上升为基础设施设计的中心变量。与此同时，Plasma 仍面临多重风险：零费用转账并不意味着系统没有成本，验证者激励、反垃圾交易机制和长期安全预算需要经受真实流量考验；跨链 USDT 依赖桥接、托管或消息传递协议，任何安全事件都可能破坏支付网络信用；稳定币本身还受储备、合规、冻结、制裁和地域监管影响。与传统联盟链相比，Plasma 的优势在于开放生态、全球可达性和稳定币原生流动性，适合跨境支付、链上美元清算和开放式金融应用；联盟链则在准入控制、合规审计、数据隔离、机构治理和既有业务系统集成方面仍有价值。二者并非简单替代关系：Plasma 可以承担外部流通和开放结算层，联盟链可以承担机构内部账务、合规协同和可信数据交换层。</w:t>
      </w:r>
    </w:p>
    <w:sectPr>
      <w:footerReference w:type="default" r:id="rIdFooter"/>
      <w:pgSz w:w="11906" w:h="16838"/>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SimSun"/>
        <w:sz w:val="24"/>
        <w:szCs w:val="24"/>
      </w:rPr>
      <w:t xml:space="preserve">第 </w:t>
    </w:r>
    <w:r>
      <w:fldChar w:fldCharType="begin"/>
    </w:r>
    <w:r>
      <w:instrText> PAGE </w:instrText>
    </w:r>
    <w:r>
      <w:fldChar w:fldCharType="end"/>
    </w:r>
    <w:r>
      <w:rPr>
        <w:rFonts w:ascii="Times New Roman" w:hAnsi="Times New Roman" w:eastAsia="SimSun"/>
        <w:sz w:val="24"/>
        <w:szCs w:val="24"/>
      </w:rPr>
      <w:t xml:space="preserve"> 页</w:t>
    </w:r>
  </w:p>
</w:ftr>
</file>

<file path=word/styles.xml><?xml version="1.0" encoding="utf-8"?>
<w:styles xmlns:w="http://schemas.openxmlformats.org/wordprocessingml/2006/main">
  <w:docDefaults>
    <w:rPrDefault>
      <w:rPr>
        <w:rFonts w:ascii="Times New Roman" w:hAnsi="Times New Roman" w:eastAsia="SimSun"/>
      </w:rPr>
    </w:rPrDefault>
  </w:docDefaults>
  <w:style w:type="paragraph" w:styleId="BodyText">
    <w:name w:val="BodyText"/>
    <w:qFormat/>
    <w:rPr>
      <w:rFonts w:ascii="Times New Roman" w:hAnsi="Times New Roman" w:eastAsia="SimSun"/>
      <w:sz w:val="24"/>
      <w:szCs w:val="24"/>
    </w:rPr>
  </w:style>
  <w:style w:type="paragraph" w:styleId="DocTitle">
    <w:name w:val="DocTitle"/>
    <w:qFormat/>
    <w:rPr>
      <w:rFonts w:ascii="SimSun" w:hAnsi="SimSun" w:eastAsia="SimSun"/>
      <w:b/>
      <w:sz w:val="36"/>
      <w:szCs w:val="36"/>
    </w:rPr>
  </w:style>
  <w:style w:type="paragraph" w:styleId="ListParagraph">
    <w:name w:val="ListParagraph"/>
    <w:qFormat/>
    <w:rPr>
      <w:rFonts w:ascii="Times New Roman" w:hAnsi="Times New Roman" w:eastAsia="SimSun"/>
      <w:sz w:val="24"/>
      <w:szCs w:val="24"/>
    </w:rPr>
  </w:style>
  <w:style w:type="paragraph" w:styleId="Heading1">
    <w:name w:val="Heading1"/>
    <w:qFormat/>
    <w:rPr>
      <w:rFonts w:ascii="SimHei" w:hAnsi="SimHei" w:eastAsia="SimHei"/>
      <w:b/>
      <w:sz w:val="32"/>
      <w:szCs w:val="32"/>
    </w:rPr>
  </w:style>
  <w:style w:type="paragraph" w:styleId="Heading2">
    <w:name w:val="Heading2"/>
    <w:qFormat/>
    <w:rPr>
      <w:rFonts w:ascii="SimHei" w:hAnsi="SimHei" w:eastAsia="SimHei"/>
      <w:b/>
      <w:sz w:val="28"/>
      <w:szCs w:val="28"/>
    </w:rPr>
  </w:style>
  <w:style w:type="paragraph" w:styleId="Heading3">
    <w:name w:val="Heading3"/>
    <w:qFormat/>
    <w:rPr>
      <w:rFonts w:ascii="SimHei" w:hAnsi="SimHei" w:eastAsia="SimHei"/>
      <w:b/>
      <w:sz w:val="24"/>
      <w:szCs w:val="24"/>
    </w:rPr>
  </w:style>
  <w:style w:type="paragraph" w:styleId="Heading4">
    <w:name w:val="Heading4"/>
    <w:qFormat/>
    <w:rPr>
      <w:rFonts w:ascii="SimSun" w:hAnsi="SimSun" w:eastAsia="SimSun"/>
      <w:b/>
      <w:sz w:val="24"/>
      <w:szCs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Footer"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Codex</dc:creator>
</cp:coreProperties>
</file>