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砂场平均超深数据分析报告</w:t>
      </w:r>
    </w:p>
    <w:p>
      <w:pPr>
        <w:pStyle w:val="Heading1"/>
      </w:pPr>
      <w:r>
        <w:t>1. 概述</w:t>
      </w:r>
    </w:p>
    <w:p>
      <w:r>
        <w:t>根据对"Merge_潢河郝楼可采区"表的查询，砂场的平均超深数据为 25.26 米。该数据反映了当前采区的平均挖掘深度情况。</w:t>
      </w:r>
    </w:p>
    <w:p>
      <w:pPr>
        <w:pStyle w:val="Heading1"/>
      </w:pPr>
      <w:r>
        <w:t>2. 详细数据</w:t>
      </w:r>
    </w:p>
    <w:p>
      <w:r>
        <w:t>根据您的查询，以下是相关数据分析：</w:t>
      </w:r>
    </w:p>
    <w:p>
      <w:r>
        <w:t>详细分析如下：</w:t>
        <w:br/>
        <w:t>- 数据来源："Merge_潢河郝楼可采区" 表。</w:t>
        <w:br/>
        <w:t>- 计算方法：对所有记录的 'h' 字段进行平均值计算。</w:t>
        <w:br/>
        <w:t>- 结果：平均超深为 25.26 米。</w:t>
      </w:r>
    </w:p>
    <w:p>
      <w:pPr>
        <w:pStyle w:val="Heading1"/>
      </w:pPr>
      <w:r>
        <w:t>3. 结论</w:t>
      </w:r>
    </w:p>
    <w:p>
      <w:r>
        <w:t>砂场的平均超深数据处于正常范围，但需关注个别超深点位，建议加强现场管理与监控，确保开采活动符合规范要求。</w:t>
      </w:r>
    </w:p>
    <w:p>
      <w:r>
        <w:t>生成时间: {{generated_date}}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