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砂场平均超深数据分析报告</w:t>
      </w:r>
    </w:p>
    <w:p>
      <w:pPr>
        <w:pStyle w:val="Heading1"/>
      </w:pPr>
      <w:r>
        <w:t>1. 概述</w:t>
      </w:r>
    </w:p>
    <w:p>
      <w:r>
        <w:t>根据数据库查询结果，砂场的平均超深数据为 25.26 米。该数据反映了当前采砂活动的总体深度水平，可用于评估资源开采效率及环境影响。</w:t>
      </w:r>
    </w:p>
    <w:p>
      <w:pPr>
        <w:pStyle w:val="Heading1"/>
      </w:pPr>
      <w:r>
        <w:t>2. 详细数据</w:t>
      </w:r>
    </w:p>
    <w:p>
      <w:r>
        <w:t>根据您的查询，以下是相关数据分析：</w:t>
      </w:r>
    </w:p>
    <w:p>
      <w:r>
        <w:t>详细分析如下：</w:t>
        <w:br/>
        <w:br/>
        <w:t>- 数据来源：`Merge_潢河郝楼可采区` 表。</w:t>
        <w:br/>
        <w:t>- 统计方法：计算 `h` 字段的平均值（即超深值）。</w:t>
        <w:br/>
        <w:t>- 平均超深值：25.26 米。</w:t>
        <w:br/>
        <w:t>- 可视化图表：已生成柱状图以直观展示该数据。</w:t>
      </w:r>
    </w:p>
    <w:p>
      <w:pPr>
        <w:pStyle w:val="Heading1"/>
      </w:pPr>
      <w:r>
        <w:t>3. 结论</w:t>
      </w:r>
    </w:p>
    <w:p>
      <w:r>
        <w:t>砂场的平均超深值处于较高水平，建议进一步调查是否存在过度开采的风险，并结合生态保护要求制定合理的开采计划。</w:t>
      </w:r>
    </w:p>
    <w:p>
      <w:r>
        <w:t>生成时间: {{generated_date}}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