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固始县砂场超深度开采情况分析报告</w:t>
      </w:r>
    </w:p>
    <w:p>
      <w:pPr>
        <w:pStyle w:val="Heading1"/>
      </w:pPr>
      <w:r>
        <w:t>1. 概述</w:t>
      </w:r>
    </w:p>
    <w:p>
      <w:r>
        <w:t>根据最新数据，对固始县7个砂场的测深数据进行统计与判定。核心结论：仅「童庙-老李集可采区」的平均超深差值（5.45米）超过2米的判定阈值，构成【超深度开采】。其余6个砂场均未超标，未构成超深度开采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各砂场超深深度（实测高程 - 控制高程）平均差值如下：</w:t>
        <w:br/>
        <w:t>- 童庙-老李集可采区: 5.45 米 (红色，严重超深)</w:t>
        <w:br/>
        <w:t>- 大营-范营可采区: 0.87 米</w:t>
        <w:br/>
        <w:t>- 夹河-红石可采区: 0.65 米</w:t>
        <w:br/>
        <w:t>- 汪营可采区: 0.33 米</w:t>
        <w:br/>
        <w:t>- 李棚-黄寨采区: 0.06 米</w:t>
        <w:br/>
        <w:t>- 种子场可采区: -0.24 米 (实测高于控制)</w:t>
        <w:br/>
        <w:t>- 潘庄砂场: -10.80 米 (实测远高于控制，存在数据异常或过度开挖风险)</w:t>
      </w:r>
    </w:p>
    <w:p>
      <w:pPr>
        <w:pStyle w:val="Heading1"/>
      </w:pPr>
      <w:r>
        <w:t>3. 结论</w:t>
      </w:r>
    </w:p>
    <w:p>
      <w:r>
        <w:t>建议立即对「童庙-老李集可采区」采取整改措施，并对「潘庄砂场」的数据真实性进行复核。其他砂场可正常运营。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