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固始县7个砂场2023年度超深度开采分析报告</w:t>
      </w:r>
    </w:p>
    <w:p>
      <w:pPr>
        <w:pStyle w:val="Heading1"/>
      </w:pPr>
      <w:r>
        <w:t>1. 概述</w:t>
      </w:r>
    </w:p>
    <w:p>
      <w:r>
        <w:t>根据2023年测深数据，对固始县7个砂场的开采情况进行分析。结果显示，仅‘童庙-老李集可采区’的平均超深差值（5.45米）超过2米的合规阈值，构成超深度开采。其余6个砂场的平均差值均小于2米，未构成违规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各砂场平均超深差值如下：</w:t>
        <w:br/>
        <w:t>1. 童庙-老李集可采区: 5.45米 (超标)</w:t>
        <w:br/>
        <w:t>2. 大营-范营可采区: 0.87米 (合规)</w:t>
        <w:br/>
        <w:t>3. 夹河-红石可采区: 0.65米 (合规)</w:t>
        <w:br/>
        <w:t>4. 汪营可采区: 0.33米 (合规)</w:t>
        <w:br/>
        <w:t>5. 李棚-黄寨采区: 0.06米 (合规)</w:t>
        <w:br/>
        <w:t>6. 种子场可采区: -0.24米 (合规，实际为抬升)</w:t>
        <w:br/>
        <w:t>7. 潘庄砂场: -10.80米 (合规，实际为抬升)</w:t>
      </w:r>
    </w:p>
    <w:p>
      <w:pPr>
        <w:pStyle w:val="Heading1"/>
      </w:pPr>
      <w:r>
        <w:t>3. 结论</w:t>
      </w:r>
    </w:p>
    <w:p>
      <w:r>
        <w:t>固始县7个砂场中，仅有‘童庙-老李集可采区’存在超深度开采行为，需立即采取措施整改。其余砂场开采活动在合规范围内，但建议持续监测。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