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6271B1D3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BB1A60">
        <w:rPr>
          <w:rFonts w:ascii="Arial" w:hAnsi="Arial" w:cs="Arial"/>
          <w:b/>
          <w:bCs/>
          <w:sz w:val="32"/>
          <w:szCs w:val="32"/>
        </w:rPr>
        <w:t>5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rFonts w:ascii="Arial" w:hAnsi="Arial" w:cs="Arial"/>
          <w:b/>
          <w:bCs/>
          <w:noProof/>
        </w:rPr>
      </w:pPr>
      <w:r w:rsidRPr="00BB1A60">
        <w:rPr>
          <w:rFonts w:ascii="Arial" w:hAnsi="Arial" w:cs="Arial"/>
          <w:b/>
          <w:bCs/>
          <w:noProof/>
        </w:rPr>
        <w:t>ZADANIA OBOWIĄZKOWE:</w:t>
      </w:r>
    </w:p>
    <w:p w14:paraId="1AF46C19" w14:textId="0361B89C" w:rsidR="00903795" w:rsidRDefault="00903795" w:rsidP="00903795">
      <w:pPr>
        <w:pStyle w:val="Akapitzlist"/>
        <w:numPr>
          <w:ilvl w:val="0"/>
          <w:numId w:val="1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Uzupełniamy klasę InMemoryMessageBroker w taki sposób, aby wiadomość trafiała do subskrybentów z tym samym routingKey, a sama publikacja była asymetryczna.</w:t>
      </w:r>
      <w:r>
        <w:rPr>
          <w:rFonts w:ascii="Arial" w:hAnsi="Arial" w:cs="Arial"/>
          <w:noProof/>
        </w:rPr>
        <w:br/>
      </w:r>
      <w:r w:rsidRPr="00903795">
        <w:rPr>
          <w:rFonts w:ascii="Arial" w:hAnsi="Arial" w:cs="Arial"/>
          <w:noProof/>
        </w:rPr>
        <w:drawing>
          <wp:inline distT="0" distB="0" distL="0" distR="0" wp14:anchorId="56F3EEC5" wp14:editId="4D134077">
            <wp:extent cx="4001576" cy="1616725"/>
            <wp:effectExtent l="0" t="0" r="0" b="2540"/>
            <wp:docPr id="6888556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7863" cy="16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FD15" w14:textId="06270075" w:rsidR="00903795" w:rsidRDefault="0094004F" w:rsidP="00903795">
      <w:pPr>
        <w:pStyle w:val="Akapitzlist"/>
        <w:numPr>
          <w:ilvl w:val="0"/>
          <w:numId w:val="14"/>
        </w:numPr>
        <w:rPr>
          <w:rFonts w:ascii="Arial" w:hAnsi="Arial" w:cs="Arial"/>
          <w:noProof/>
          <w:lang w:val="en-GB"/>
        </w:rPr>
      </w:pPr>
      <w:r w:rsidRPr="0094004F">
        <w:rPr>
          <w:rFonts w:ascii="Arial" w:hAnsi="Arial" w:cs="Arial"/>
          <w:noProof/>
          <w:lang w:val="en-GB"/>
        </w:rPr>
        <w:t>W klasie OrderEventPublisher publikujemy event rou</w:t>
      </w:r>
      <w:r>
        <w:rPr>
          <w:rFonts w:ascii="Arial" w:hAnsi="Arial" w:cs="Arial"/>
          <w:noProof/>
          <w:lang w:val="en-GB"/>
        </w:rPr>
        <w:t>tingKey orders.created.</w:t>
      </w:r>
      <w:r>
        <w:rPr>
          <w:rFonts w:ascii="Arial" w:hAnsi="Arial" w:cs="Arial"/>
          <w:noProof/>
          <w:lang w:val="en-GB"/>
        </w:rPr>
        <w:br/>
      </w:r>
      <w:r w:rsidRPr="0094004F">
        <w:rPr>
          <w:rFonts w:ascii="Arial" w:hAnsi="Arial" w:cs="Arial"/>
          <w:noProof/>
          <w:lang w:val="en-GB"/>
        </w:rPr>
        <w:drawing>
          <wp:inline distT="0" distB="0" distL="0" distR="0" wp14:anchorId="21494A85" wp14:editId="4B741ED6">
            <wp:extent cx="4158288" cy="470432"/>
            <wp:effectExtent l="0" t="0" r="0" b="6350"/>
            <wp:docPr id="7638152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5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119" cy="4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0CA7" w14:textId="16CDFED7" w:rsidR="0094004F" w:rsidRDefault="0094004F" w:rsidP="00903795">
      <w:pPr>
        <w:pStyle w:val="Akapitzlist"/>
        <w:numPr>
          <w:ilvl w:val="0"/>
          <w:numId w:val="14"/>
        </w:numPr>
        <w:rPr>
          <w:rFonts w:ascii="Arial" w:hAnsi="Arial" w:cs="Arial"/>
          <w:noProof/>
        </w:rPr>
      </w:pPr>
      <w:r w:rsidRPr="0094004F">
        <w:rPr>
          <w:rFonts w:ascii="Arial" w:hAnsi="Arial" w:cs="Arial"/>
          <w:noProof/>
        </w:rPr>
        <w:t>W OrderService budujemy klasę od</w:t>
      </w:r>
      <w:r>
        <w:rPr>
          <w:rFonts w:ascii="Arial" w:hAnsi="Arial" w:cs="Arial"/>
          <w:noProof/>
        </w:rPr>
        <w:t>powiedzialną za tworzenie eventu oraz wywołujemy publisher.publishOrderCreated.</w:t>
      </w:r>
    </w:p>
    <w:p w14:paraId="3B005EDE" w14:textId="23FBFDAB" w:rsidR="00666760" w:rsidRDefault="00666760" w:rsidP="00A4234A">
      <w:pPr>
        <w:pStyle w:val="Akapitzlist"/>
        <w:rPr>
          <w:rFonts w:ascii="Arial" w:hAnsi="Arial" w:cs="Arial"/>
          <w:noProof/>
        </w:rPr>
      </w:pPr>
      <w:r w:rsidRPr="00666760">
        <w:rPr>
          <w:rFonts w:ascii="Arial" w:hAnsi="Arial" w:cs="Arial"/>
          <w:noProof/>
        </w:rPr>
        <w:drawing>
          <wp:inline distT="0" distB="0" distL="0" distR="0" wp14:anchorId="153F5BD8" wp14:editId="2D9CA82E">
            <wp:extent cx="4878125" cy="1479246"/>
            <wp:effectExtent l="0" t="0" r="0" b="6985"/>
            <wp:docPr id="6567922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2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450" cy="148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D68" w14:textId="79153FA1" w:rsidR="0094004F" w:rsidRPr="0094004F" w:rsidRDefault="00A4234A" w:rsidP="00903795">
      <w:pPr>
        <w:pStyle w:val="Akapitzlist"/>
        <w:numPr>
          <w:ilvl w:val="0"/>
          <w:numId w:val="1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Uzupełniamy OrderCreatedListener tak aby po odebraniu wiadomości rzutowano ją na OrderCreatedEvent.</w:t>
      </w:r>
      <w:r>
        <w:rPr>
          <w:rFonts w:ascii="Arial" w:hAnsi="Arial" w:cs="Arial"/>
          <w:noProof/>
        </w:rPr>
        <w:br/>
      </w:r>
      <w:r w:rsidRPr="00A4234A">
        <w:rPr>
          <w:rFonts w:ascii="Arial" w:hAnsi="Arial" w:cs="Arial"/>
          <w:noProof/>
        </w:rPr>
        <w:drawing>
          <wp:inline distT="0" distB="0" distL="0" distR="0" wp14:anchorId="15A386D5" wp14:editId="5C48EBBF">
            <wp:extent cx="4329224" cy="1765189"/>
            <wp:effectExtent l="0" t="0" r="0" b="6985"/>
            <wp:docPr id="1980237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429" cy="177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A8D1" w14:textId="791986E8" w:rsidR="001554B5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t>ZADANIA DODATKOWE:</w:t>
      </w:r>
    </w:p>
    <w:p w14:paraId="25B58186" w14:textId="4D522F43" w:rsidR="00386F80" w:rsidRDefault="00386F80" w:rsidP="00386F80">
      <w:pPr>
        <w:pStyle w:val="Akapitzlist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Rozszerzamy walidację </w:t>
      </w:r>
      <w:proofErr w:type="spellStart"/>
      <w:r>
        <w:rPr>
          <w:rFonts w:ascii="Arial" w:hAnsi="Arial" w:cs="Arial"/>
        </w:rPr>
        <w:t>eventid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386F80">
        <w:rPr>
          <w:rFonts w:ascii="Arial" w:hAnsi="Arial" w:cs="Arial"/>
        </w:rPr>
        <w:drawing>
          <wp:inline distT="0" distB="0" distL="0" distR="0" wp14:anchorId="64EBF215" wp14:editId="096D4268">
            <wp:extent cx="5212080" cy="338969"/>
            <wp:effectExtent l="0" t="0" r="0" b="4445"/>
            <wp:docPr id="13742471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781" cy="3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7726" w14:textId="1DA690F2" w:rsidR="00386F80" w:rsidRDefault="00516DB7" w:rsidP="00386F80">
      <w:pPr>
        <w:pStyle w:val="Akapitzlist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Przy okazji obsługujemy zdarzenie w którym dwa różne event są wpisywane osobno w </w:t>
      </w:r>
      <w:proofErr w:type="spellStart"/>
      <w:r>
        <w:rPr>
          <w:rFonts w:ascii="Arial" w:hAnsi="Arial" w:cs="Arial"/>
        </w:rPr>
        <w:t>store</w:t>
      </w:r>
      <w:proofErr w:type="spellEnd"/>
      <w:r>
        <w:rPr>
          <w:rFonts w:ascii="Arial" w:hAnsi="Arial" w:cs="Arial"/>
        </w:rPr>
        <w:t>.</w:t>
      </w:r>
    </w:p>
    <w:p w14:paraId="70D496EE" w14:textId="053F7EE6" w:rsidR="00516DB7" w:rsidRDefault="00516DB7" w:rsidP="00386F80">
      <w:pPr>
        <w:pStyle w:val="Akapitzlist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Dodatkowo jeżeli </w:t>
      </w:r>
      <w:proofErr w:type="spellStart"/>
      <w:r>
        <w:rPr>
          <w:rFonts w:ascii="Arial" w:hAnsi="Arial" w:cs="Arial"/>
        </w:rPr>
        <w:t>eventid</w:t>
      </w:r>
      <w:proofErr w:type="spellEnd"/>
      <w:r>
        <w:rPr>
          <w:rFonts w:ascii="Arial" w:hAnsi="Arial" w:cs="Arial"/>
        </w:rPr>
        <w:t xml:space="preserve"> jest </w:t>
      </w:r>
      <w:proofErr w:type="spellStart"/>
      <w:r>
        <w:rPr>
          <w:rFonts w:ascii="Arial" w:hAnsi="Arial" w:cs="Arial"/>
        </w:rPr>
        <w:t>nullem</w:t>
      </w:r>
      <w:proofErr w:type="spellEnd"/>
      <w:r>
        <w:rPr>
          <w:rFonts w:ascii="Arial" w:hAnsi="Arial" w:cs="Arial"/>
        </w:rPr>
        <w:t xml:space="preserve"> to jest wtedy ignorowany.</w:t>
      </w:r>
    </w:p>
    <w:p w14:paraId="7CF6CBA0" w14:textId="79A1122F" w:rsidR="00516DB7" w:rsidRPr="00386F80" w:rsidRDefault="00516DB7" w:rsidP="00386F80">
      <w:pPr>
        <w:pStyle w:val="Akapitzlist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Zapisujemy tylko przy pierwszym evencie.</w:t>
      </w:r>
      <w:r>
        <w:rPr>
          <w:rFonts w:ascii="Arial" w:hAnsi="Arial" w:cs="Arial"/>
        </w:rPr>
        <w:br/>
      </w:r>
      <w:r w:rsidRPr="00516DB7">
        <w:rPr>
          <w:rFonts w:ascii="Arial" w:hAnsi="Arial" w:cs="Arial"/>
        </w:rPr>
        <w:drawing>
          <wp:inline distT="0" distB="0" distL="0" distR="0" wp14:anchorId="33437D00" wp14:editId="3F1F4071">
            <wp:extent cx="1762371" cy="438211"/>
            <wp:effectExtent l="0" t="0" r="9525" b="0"/>
            <wp:docPr id="13316837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3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5BA7" w14:textId="2E74E129" w:rsidR="00BB1A60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t>WYNIKI TESTÓW:</w:t>
      </w:r>
    </w:p>
    <w:p w14:paraId="182F3DB9" w14:textId="6DA05EDE" w:rsidR="000528C9" w:rsidRDefault="000528C9" w:rsidP="00CE5CCF">
      <w:pPr>
        <w:rPr>
          <w:rFonts w:ascii="Arial" w:hAnsi="Arial" w:cs="Arial"/>
          <w:b/>
          <w:bCs/>
        </w:rPr>
      </w:pPr>
      <w:r w:rsidRPr="000528C9">
        <w:rPr>
          <w:rFonts w:ascii="Arial" w:hAnsi="Arial" w:cs="Arial"/>
          <w:b/>
          <w:bCs/>
        </w:rPr>
        <w:drawing>
          <wp:inline distT="0" distB="0" distL="0" distR="0" wp14:anchorId="3C6454AC" wp14:editId="2BE747AC">
            <wp:extent cx="5760720" cy="1927225"/>
            <wp:effectExtent l="0" t="0" r="0" b="0"/>
            <wp:docPr id="1065063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0CA2B9A7" w:rsidR="00731CB9" w:rsidRPr="00BB1A60" w:rsidRDefault="00731CB9" w:rsidP="00CE5CCF">
      <w:pPr>
        <w:rPr>
          <w:rFonts w:ascii="Arial" w:hAnsi="Arial" w:cs="Arial"/>
          <w:b/>
          <w:bCs/>
        </w:rPr>
      </w:pPr>
      <w:r w:rsidRPr="00731CB9">
        <w:rPr>
          <w:rFonts w:ascii="Arial" w:hAnsi="Arial" w:cs="Arial"/>
          <w:b/>
          <w:bCs/>
        </w:rPr>
        <w:drawing>
          <wp:inline distT="0" distB="0" distL="0" distR="0" wp14:anchorId="59B8E0C2" wp14:editId="11D1479C">
            <wp:extent cx="5124615" cy="1772037"/>
            <wp:effectExtent l="0" t="0" r="0" b="0"/>
            <wp:docPr id="15701290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467" cy="17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CB9" w:rsidRPr="00BB1A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5"/>
  </w:num>
  <w:num w:numId="2" w16cid:durableId="638462251">
    <w:abstractNumId w:val="10"/>
  </w:num>
  <w:num w:numId="3" w16cid:durableId="1296761221">
    <w:abstractNumId w:val="8"/>
  </w:num>
  <w:num w:numId="4" w16cid:durableId="820122143">
    <w:abstractNumId w:val="3"/>
  </w:num>
  <w:num w:numId="5" w16cid:durableId="810439307">
    <w:abstractNumId w:val="13"/>
  </w:num>
  <w:num w:numId="6" w16cid:durableId="1696729407">
    <w:abstractNumId w:val="2"/>
  </w:num>
  <w:num w:numId="7" w16cid:durableId="748502224">
    <w:abstractNumId w:val="11"/>
  </w:num>
  <w:num w:numId="8" w16cid:durableId="973171291">
    <w:abstractNumId w:val="1"/>
  </w:num>
  <w:num w:numId="9" w16cid:durableId="784039135">
    <w:abstractNumId w:val="0"/>
  </w:num>
  <w:num w:numId="10" w16cid:durableId="952327028">
    <w:abstractNumId w:val="14"/>
  </w:num>
  <w:num w:numId="11" w16cid:durableId="372117695">
    <w:abstractNumId w:val="4"/>
  </w:num>
  <w:num w:numId="12" w16cid:durableId="347679659">
    <w:abstractNumId w:val="9"/>
  </w:num>
  <w:num w:numId="13" w16cid:durableId="876939046">
    <w:abstractNumId w:val="6"/>
  </w:num>
  <w:num w:numId="14" w16cid:durableId="1482235973">
    <w:abstractNumId w:val="12"/>
  </w:num>
  <w:num w:numId="15" w16cid:durableId="374744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12AF1"/>
    <w:rsid w:val="00034E35"/>
    <w:rsid w:val="000528C9"/>
    <w:rsid w:val="00107986"/>
    <w:rsid w:val="0012698F"/>
    <w:rsid w:val="001554B5"/>
    <w:rsid w:val="00164E0D"/>
    <w:rsid w:val="00194A07"/>
    <w:rsid w:val="00237A0D"/>
    <w:rsid w:val="002C1C39"/>
    <w:rsid w:val="0031772F"/>
    <w:rsid w:val="00381F06"/>
    <w:rsid w:val="00386F80"/>
    <w:rsid w:val="0042391C"/>
    <w:rsid w:val="00434C39"/>
    <w:rsid w:val="00473B2D"/>
    <w:rsid w:val="00491B84"/>
    <w:rsid w:val="00516DB7"/>
    <w:rsid w:val="00597B12"/>
    <w:rsid w:val="00663DAE"/>
    <w:rsid w:val="00665D98"/>
    <w:rsid w:val="00666760"/>
    <w:rsid w:val="006871FF"/>
    <w:rsid w:val="006C11AB"/>
    <w:rsid w:val="006C1663"/>
    <w:rsid w:val="00715EC4"/>
    <w:rsid w:val="00731CB9"/>
    <w:rsid w:val="007D317A"/>
    <w:rsid w:val="00884890"/>
    <w:rsid w:val="00903795"/>
    <w:rsid w:val="0094004F"/>
    <w:rsid w:val="009F7789"/>
    <w:rsid w:val="00A4234A"/>
    <w:rsid w:val="00AA4F54"/>
    <w:rsid w:val="00AB25DE"/>
    <w:rsid w:val="00AF4470"/>
    <w:rsid w:val="00AF767A"/>
    <w:rsid w:val="00BB1A60"/>
    <w:rsid w:val="00BC6F4C"/>
    <w:rsid w:val="00BE0ACE"/>
    <w:rsid w:val="00C45C8C"/>
    <w:rsid w:val="00C61C22"/>
    <w:rsid w:val="00C77332"/>
    <w:rsid w:val="00C936FB"/>
    <w:rsid w:val="00CA575D"/>
    <w:rsid w:val="00CE5CCF"/>
    <w:rsid w:val="00D036FA"/>
    <w:rsid w:val="00D14184"/>
    <w:rsid w:val="00DA7C37"/>
    <w:rsid w:val="00DB0095"/>
    <w:rsid w:val="00E1166B"/>
    <w:rsid w:val="00E16B46"/>
    <w:rsid w:val="00E41946"/>
    <w:rsid w:val="00E7392A"/>
    <w:rsid w:val="00E74B00"/>
    <w:rsid w:val="00EA675A"/>
    <w:rsid w:val="00F53F88"/>
    <w:rsid w:val="00F8351F"/>
    <w:rsid w:val="00FB78C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6961</TotalTime>
  <Pages>2</Pages>
  <Words>115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30</cp:revision>
  <dcterms:created xsi:type="dcterms:W3CDTF">2026-03-02T17:14:00Z</dcterms:created>
  <dcterms:modified xsi:type="dcterms:W3CDTF">2026-03-31T19:51:00Z</dcterms:modified>
</cp:coreProperties>
</file>