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Fleet management đa site</w:t>
        <w:tab/>
        <w:t>49</w:t>
      </w:r>
    </w:p>
    <w:p>
      <w:pPr>
        <w:pStyle w:val="TOC3"/>
      </w:pPr>
      <w:r>
        <w:t>6.3.2 Chống nhiễu 2.4 GHz</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[7], [8].</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[6].</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[20].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[18], [19].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{"bmt_tag_0x0001":[{"ts":1732345678000,"values":{"scanner_id":"125ba3077000","rssi":-47,"battery":82}}]}</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đúng 7 node. Sau Apply hysteresis, luồng rẽ thành hai nhánh độc lập để ghi attributes và timeseries: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1A025C40" w14:textId="77777777" w:rsidR="0075696A" w:rsidRDefault="00000000">
      <w:pPr>
        <w:pStyle w:val="ListNumber"/>
        <w:numPr>
          <w:ilvl w:val="0"/>
          <w:numId w:val="6"/>
        </w:numPr>
      </w:pPr>
      <w:r>
        <w:t>Save tag state: ghi payload trên thành SERVER_SCOPE attributes của đúng child device Tag; attributes chỉ giữ trạng thái mới nhất.</w:t>
      </w:r>
    </w:p>
    <w:p w14:paraId="6799CC74"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pPr>
        <w:pStyle w:val="ListNumber"/>
      </w:pPr>
      <w:r>
        <w:t>Save zone history: ghi payload timeseries để lưu lịch sử theo thời gian, phục vụ dashboard và phân tích độ trễ.</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persist tối đa 10 node trong NVS. Firmware Tag/Scanner chỉ là đầu vào của giao diện tích hợp.</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 xml:space="preserve">Trong phép đo, Scanner 01 đặt trên tủ lạnh ở độ cao khoảng 2,0 m; Scanner 02 đặt gần máy tính ở độ cao khoảng 1,75 m; Scanner 03 đặt trên nóc tủ ở độ cao khoảng </w:t>
      </w:r>
      <w:r w:rsidR="00463F4A">
        <w:t>1</w:t>
      </w:r>
      <w:r>
        <w:t>,</w:t>
      </w:r>
      <w:r w:rsidR="00463F4A">
        <w:t>5</w:t>
      </w:r>
      <w:r>
        <w:t xml:space="preserve"> m. Gateway đặt gần router Wi-Fi và Relay đặt tại hành lang. Tọa độ, độ cao, hướng anten, vật cản và bề mặt kim loại được xem là biến thiết kế vì chúng ảnh hưởng rõ rệt đến RSSI trong nhà [4], [6], [20].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nRF Connect trên Android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 xml:space="preserve">Trong phép thử, một ADV hợp lệ được ghi bằng btmon, phát lại sau 15 phút bằng nRF Connect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w:t>
      </w:r>
      <w:r>
        <w:lastRenderedPageBreak/>
        <w:t>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[20].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1802AEE2" w14:textId="77777777" w:rsidR="0075696A" w:rsidRDefault="00000000">
      <w:pPr>
        <w:ind w:left="510" w:hanging="510"/>
      </w:pPr>
      <w:r>
        <w:t>[5] Bembenik, R., &amp; Falcman, K. (2020). BLE indoor positioning system using RSSI-based trilateration. Journal of Wireless Mobile Networks, Ubiquitous Computing, and Dependable Applications, 11(3), 50–69.</w:t>
      </w:r>
    </w:p>
    <w:p w14:paraId="39FBC8A1" w14:textId="77777777" w:rsidR="0075696A" w:rsidRDefault="00000000">
      <w:pPr>
        <w:ind w:left="510" w:hanging="510"/>
      </w:pPr>
      <w:r>
        <w:t>[6] Zhuang, Y., Yang, J., Li, Y., Qi, L., &amp; El-Sheimy, N. (2016). Smartphone-based indoor localization with Bluetooth Low Energy beacons. Sensors, 16(5), 596.</w:t>
      </w:r>
    </w:p>
    <w:p w14:paraId="0B4C88A1" w14:textId="77777777" w:rsidR="0075696A" w:rsidRDefault="00000000">
      <w:pPr>
        <w:ind w:left="510" w:hanging="510"/>
      </w:pPr>
      <w:r>
        <w:t>[7]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[8] Skýpalová, E., Boroš, M., Loveček, T., &amp; Veľas, A. (2025). Innovative indoor positioning: BLE beacons for healthcare tracking. Electronics, 14(10), 2018.</w:t>
      </w:r>
    </w:p>
    <w:p w14:paraId="492C2454" w14:textId="77777777" w:rsidR="0075696A" w:rsidRDefault="00000000">
      <w:pPr>
        <w:ind w:left="510" w:hanging="510"/>
      </w:pPr>
      <w:r>
        <w:t>[9] Kalynchuk, T. N. (2026). Indoor positioning with Bluetooth Low Energy and Extended Kalman Filter. Electronics and Information Technologies, 33, 31–42.</w:t>
      </w:r>
    </w:p>
    <w:p w14:paraId="3D7A91B1" w14:textId="77777777" w:rsidR="0075696A" w:rsidRDefault="00000000">
      <w:pPr>
        <w:ind w:left="510" w:hanging="510"/>
      </w:pPr>
      <w:r>
        <w:t>[10] Wu, J., Nan, Y., Kumar, V., Tian, D. J., Bianchi, A., Payer, M., &amp; Xu, D. (2020). BLESA: Spoofing attacks against reconnections in Bluetooth Low Energy. In 14th USENIX Workshop on Offensive Technologies (WOOT 20).</w:t>
      </w:r>
    </w:p>
    <w:p w14:paraId="223411B6" w14:textId="77777777" w:rsidR="0075696A" w:rsidRDefault="00000000">
      <w:pPr>
        <w:ind w:left="510" w:hanging="510"/>
      </w:pPr>
      <w:r>
        <w:t>[11] Ferrag, M. A., Maglaras, L. A., Janicke, H., &amp; Jiang, J. (2016). Authentication protocols for the Internet of Things: A comprehensive survey. arXiv:1612.07206.</w:t>
      </w:r>
    </w:p>
    <w:p w14:paraId="429847DC" w14:textId="77777777" w:rsidR="0075696A" w:rsidRDefault="00000000">
      <w:pPr>
        <w:ind w:left="510" w:hanging="510"/>
      </w:pPr>
      <w:r>
        <w:t xml:space="preserve">[12] Mesa-Simon, M., Escobar-Molero, A., Parrilla, L., Morales, D. P., Álvarez-Bermejo, J. A., &amp; Romero, F. J. (2025). Integration of hardware security modules into BLE </w:t>
      </w:r>
      <w:r>
        <w:lastRenderedPageBreak/>
        <w:t>beacons: Fundamentals and use in a secure and private geofencing application. Internet of Things, 101762.</w:t>
      </w:r>
    </w:p>
    <w:p w14:paraId="6709AD78" w14:textId="77777777" w:rsidR="0075696A" w:rsidRDefault="00000000">
      <w:pPr>
        <w:ind w:left="510" w:hanging="510"/>
      </w:pPr>
      <w:r>
        <w:t>[13] M'Raihi, D., Machani, S., Pei, M., &amp; Rydell, J. (2011). TOTP: Time-based one-time password algorithm (RFC 6238). Internet Engineering Task Force.</w:t>
      </w:r>
    </w:p>
    <w:p w14:paraId="7950B9AB" w14:textId="77777777" w:rsidR="0075696A" w:rsidRDefault="00000000">
      <w:pPr>
        <w:ind w:left="510" w:hanging="510"/>
      </w:pPr>
      <w:r>
        <w:t>[14] Gupta, B. (2016). A replay-attack-resistant message authentication scheme using time-based keying hash functions and unique message identifiers. arXiv:1602.02148.</w:t>
      </w:r>
    </w:p>
    <w:p w14:paraId="28EFD699" w14:textId="77777777" w:rsidR="0075696A" w:rsidRDefault="00000000">
      <w:pPr>
        <w:ind w:left="510" w:hanging="510"/>
      </w:pPr>
      <w:r>
        <w:t>[15] Wang, R., &amp; Yan, Y. (2022). A survey of secure boot schemes for embedded devices. In 2022 24th International Conference on Advanced Communication Technology (ICACT) (pp. 224–227). IEEE.</w:t>
      </w:r>
    </w:p>
    <w:p w14:paraId="140880A1" w14:textId="77777777" w:rsidR="0075696A" w:rsidRDefault="00000000">
      <w:pPr>
        <w:ind w:left="510" w:hanging="510"/>
      </w:pPr>
      <w:r>
        <w:t>[16] El Jaouhari, S., &amp; Bouvet, E. (2022). Secure firmware over-the-air updates for IoT: Survey, challenges, and discussions. Internet of Things, 18, 100508.</w:t>
      </w:r>
    </w:p>
    <w:p w14:paraId="253B5A2F" w14:textId="77777777" w:rsidR="0075696A" w:rsidRDefault="00000000">
      <w:pPr>
        <w:ind w:left="510" w:hanging="510"/>
      </w:pPr>
      <w:r>
        <w:t>[17] Haq, S. U., Singh, Y., Sharma, A., Gupta, R., &amp; Gupta, D. (2023). A survey on IoT and embedded-device firmware security: Architecture, extraction techniques, and vulnerability analysis frameworks. Discover Internet of Things, 3(1), 17.</w:t>
      </w:r>
    </w:p>
    <w:p w14:paraId="70FF91AA" w14:textId="77777777" w:rsidR="0075696A" w:rsidRDefault="00000000">
      <w:pPr>
        <w:ind w:left="510" w:hanging="510"/>
      </w:pPr>
      <w:r>
        <w:t>[18]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[19]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[20]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rPr>
          <w:szCs w:val="26"/>
        </w:rPr>
        <w:t>[21]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rPr>
          <w:szCs w:val="26"/>
        </w:rPr>
        <w:t>[22] Bluetooth Special Interest Group. (2023). Mesh Protocol Specification (Version 1.1). https://www.bluetooth.com/specifications/specs/mesh-protocol/</w:t>
      </w:r>
      <w:r>
        <w:br w:type="page"/>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rPr>
          <w:szCs w:val="26"/>
        </w:rPr>
        <w:t>Các giá trị dưới đây được đối chiếu với mã nguồn Gateway, Scanner, Relay và Tag. Vendor opcode của đề tài là Access opcode ba octet; các AD Type và Company Identifier được đối chiếu theo Bluetooth SIG [21], [22].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14:paraId="087ACFF8" w14:textId="77777777" w:rsidR="0075696A" w:rsidRDefault="00000000" w:rsidP="00A058C1">
            <w:pPr>
              <w:spacing w:line="240" w:lineRule="auto"/>
              <w:ind w:firstLine="0"/>
              <w:jc w:val="center"/>
            </w:pPr>
            <w:r>
              <w:rPr>
                <w:szCs w:val="26"/>
              </w:rPr>
              <w:t>Bluetooth SIG cấp cho Espressif Systems (Shanghai) Co., Ltd.; đề tài dùng để tương thích với Scanner.</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