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BANKING SEMANTIC MODEL DASHBOARD</w:t>
      </w:r>
    </w:p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ANALYSIS REPORT</w:t>
      </w:r>
    </w:p>
    <w:p>
      <w:pPr>
        <w:spacing w:after="40"/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Reporting Period: January 2018 – January 2028 (model date range)</w:t>
      </w:r>
    </w:p>
    <w:p>
      <w:pPr>
        <w:spacing w:before="200"/>
      </w:pPr>
    </w:p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Name: Pothi Raja D</w:t>
      </w:r>
    </w:p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Register No: ACFT25023</w:t>
      </w:r>
    </w:p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Programme: B.Com Fintech with AI</w:t>
      </w:r>
    </w:p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Institution: AMET University, Chennai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1. Executive Summary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This dashboard analyses a banking semantic model spanning 1,651 accounts, 720 customers, 330 loans, and 49,500 transactions across 50 branches, built as a star schema with accounts, customers, loans, and transactions as fact/dimension tables and a dedicated _Measures table holding 38 DAX measures organised into five display folders (Accounts, Customers, Loans, Transactions, Addresses). The report covers four dashboard pages: Executive Overview, Customer &amp; Account Analysis, Loan Analysis, and Transactions &amp; Branches.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Total Balance: ₹8,10,36,977 across 1,651 accounts, an Average Balance of ₹49,083.57 per account.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Total Customers: 720, split 228 Individual (31.7%) and 492 Business (68.3%, covering Small Business and Large Enterprise types combined).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Total Principal Amount: ₹1,70,87,413 across 330 loans at an average interest rate of 8.94%; 34 loans (10.3%) are Overdue, carrying ₹16,70,617 of principal at risk.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Total Transaction Amount: ₹12,39,55,500 across 49,500 transactions (Average ₹2,504.15 per transaction), fairly evenly split across Deposit, Withdrawal, Transfer, and Payment types.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Branch-level transaction volume is tightly clustered — the busiest branch (Branch 47) and the quietest (Branch 19) differ by only around ₹3,77,920, roughly 14% apart, indicating even activity distribution rather than concentration in a few branches.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2. Executive Overview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2.1 Headline KPI Cards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2400"/>
        <w:gridCol w:w="2450"/>
        <w:gridCol w:w="4500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KPI</w:t>
            </w:r>
          </w:p>
        </w:tc>
        <w:tc>
          <w:tcPr>
            <w:tcW w:type="dxa" w:w="24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4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Balance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₹8,10,36,977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of accounts[Balance]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DISTINCTCOUNT of Customer ID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Accounts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1,651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COUNTROWS(accounts)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Transaction Volume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₹12,39,55,500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of transaction Amount (value, not count)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Loan Principal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₹1,70,87,413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of loans[PrincipalAmount]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the Total Transaction Volume card (₹12,39,55,500) is labelled "Volume" but is actually a currency total — the transaction count itself (49,500) sits on the Transactions &amp; Branches page as a separate card. Worth renaming one of the two to avoid the two being confused with each other on a quick glance.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2.2 Loan Portfolio by Status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Loan Count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72.4%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Off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17.3%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Overdue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10.3%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72.4% of the loan book is Active and only 10.3% is Overdue — a healthy portfolio by count. The more useful risk figure is principal-weighted: Overdue loans carry ₹16,70,617 of principal, which is 9.8% of the total loan book, close to their share by count, so overdue risk is not concentrated in unusually large loans.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2.3 Account Portfolio by Status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Account Count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1,327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80.4%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Inactive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15.1%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4.5%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the Executive Overview page's own "Account Portfolio by Status" donut currently shows Active as 239 (42.45%) rather than the correct 1,327 (80.4%) — 239 is the Active Loans figure, not Active Accounts, while the Inactive (250) and Closed (74) segments are correct. This looks like a field mapped from the wrong measure when that visual was built (likely copied from the Loan Portfolio donut next to it). Worth checking the "Active" slice's field binding against [Active Accounts] rather than [Active Loans].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3. Customer &amp; Account Analysis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3.1 Customer Segmentation by Type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Individual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228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31.7%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Business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223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31.0%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 Enterprise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37.4%</w:t>
            </w:r>
          </w:p>
        </w:tc>
      </w:tr>
    </w:tbl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The dashboard's donut groups this into two: Individual Customers (228, 31.7%) and Business Customers (492, 68.3%) — the latter combining Small Business and Large Enterprise via the [Business Customers] measure's NOT "Individual" logic.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3.2 Total Balance by Account Type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2800"/>
        <w:gridCol w:w="3800"/>
        <w:gridCol w:w="2750"/>
      </w:tblGrid>
      <w:tr>
        <w:trPr>
          <w:tblHeader/>
        </w:trPr>
        <w:tc>
          <w:tcPr>
            <w:tcW w:type="dxa" w:w="2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Balance</w:t>
            </w:r>
          </w:p>
        </w:tc>
        <w:tc>
          <w:tcPr>
            <w:tcW w:type="dxa" w:w="27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₹1,73,98,919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₹1,66,49,465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333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Youth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₹1,61,61,122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Payroll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₹1,56,93,432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₹1,51,34,038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311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balance is well distributed across all five account types — Business leads at ₹1,73,98,919 but Checking, the smallest, is still within ₹22,64,881 of it, about 13% apart. No single account type dominates the deposit base, so product strategy can reasonably treat all five types as comparably important rather than concentrating on one.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3.3 Account Balance Range &amp; Customer Transaction Flow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4800"/>
        <w:gridCol w:w="4550"/>
      </w:tblGrid>
      <w:tr>
        <w:trPr>
          <w:tblHeader/>
        </w:trPr>
        <w:tc>
          <w:tcPr>
            <w:tcW w:type="dxa" w:w="4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Metric</w:t>
            </w:r>
          </w:p>
        </w:tc>
        <w:tc>
          <w:tcPr>
            <w:tcW w:type="dxa" w:w="45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Highest Account Balance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₹99,828.98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Lowest Account Balance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-₹486.68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Account Balance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₹49,083.57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Incoming Transaction Count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49,500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Outgoing Transaction Count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49,500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the Lowest Account Balance of -₹486.68 indicates at least one account is overdrawn — worth a follow-up query to see how many accounts sit below zero and whether an overdraft-fee or alert measure should be added. Separately, Customer Incoming and Outgoing Transaction Counts both total exactly 49,500: expected at the aggregate level, since every transaction has one origin and one destination account, but this figure would diverge once viewed per-customer rather than as a grand total.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4. Loan Analysis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4.1 Loan Performance by Status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Loan Count</w:t>
            </w:r>
          </w:p>
        </w:tc>
        <w:tc>
          <w:tcPr>
            <w:tcW w:type="dxa" w:w="311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Average Interest Rate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9.17%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Off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8.50%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Overdue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8.11%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8.94%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Overdue loans carry the lowest average interest rate (8.11%) of the three statuses, marginally below Active (9.17%) and Paid Off (8.50%). This is a small enough gap that it likely reflects normal variation in this sample rather than a signal that lower-rate loans default more — but it's worth re-checking once real repayment-history data is available, since a genuine inverse relationship between rate and delinquency would be a meaningful underwriting finding.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4.2 Loan Principal Trend — Data Note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The "Loan Principal Trend Over Time" and "Monthly Loan Principal Breakdown" visuals both show a large "(Blank)" bucket ahead of the monthly series. Of the 330 loans, 327 have a StartDate falling exactly at midnight and match the _Date Loans table correctly; a small number carry a time-of-day component that doesn't match a pure-date table, and fall into that blank bucket instead of their actual month. The month-by-month shape for the loans that do match (oscillating roughly ₹0.01M–₹0.21M per month across Jan–May 2021 in the visible range) is otherwise usable as-is.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5. Transactions &amp; Branches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5.1 Transaction Mix by Type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2200"/>
        <w:gridCol w:w="1800"/>
        <w:gridCol w:w="3050"/>
        <w:gridCol w:w="2300"/>
      </w:tblGrid>
      <w:tr>
        <w:trPr>
          <w:tblHeader/>
        </w:trP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Transaction Type</w:t>
            </w:r>
          </w:p>
        </w:tc>
        <w:tc>
          <w:tcPr>
            <w:tcW w:type="dxa" w:w="18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Count</w:t>
            </w:r>
          </w:p>
        </w:tc>
        <w:tc>
          <w:tcPr>
            <w:tcW w:type="dxa" w:w="30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Amount</w:t>
            </w:r>
          </w:p>
        </w:tc>
        <w:tc>
          <w:tcPr>
            <w:tcW w:type="dxa" w:w="23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Average Amount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Deposit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15,065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₹3,76,47,877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₹2,499.03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Withdrawal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14,706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₹3,67,42,449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₹2,498.47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14,771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₹3,71,83,395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₹2,517.32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4,958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₹1,23,81,777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₹2,497.33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Deposit, Withdrawal, and Transfer are almost identical in both count (~14,700–15,100 each) and average amount (all within ₹20 of ₹2,504.15), while Payment is a clear outlier — about a third of the volume of the other three (4,958 transactions) but at the same average size. This suggests Payment is a genuinely less frequent transaction type in this dataset rather than a data quality gap, since its average amount tracks the others closely.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5.2 Top Branches by Transaction Volume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2900"/>
        <w:gridCol w:w="4550"/>
      </w:tblGrid>
      <w:tr>
        <w:trPr>
          <w:tblHeader/>
        </w:trPr>
        <w:tc>
          <w:tcPr>
            <w:tcW w:type="dxa" w:w="1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Branch</w:t>
            </w:r>
          </w:p>
        </w:tc>
        <w:tc>
          <w:tcPr>
            <w:tcW w:type="dxa" w:w="2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Transaction Count</w:t>
            </w:r>
          </w:p>
        </w:tc>
        <w:tc>
          <w:tcPr>
            <w:tcW w:type="dxa" w:w="45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Transaction Amount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47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1,036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₹26,66,372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39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1,009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₹26,19,083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1,019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₹26,00,980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25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1,028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₹25,93,885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44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1,027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₹25,89,016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46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1,038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₹25,87,937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50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1,058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₹25,84,419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 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1,023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₹25,84,279</w:t>
            </w:r>
          </w:p>
        </w:tc>
      </w:tr>
    </w:tbl>
    <w:p>
      <w:pPr>
        <w:spacing w:after="220"/>
        <w:jc w:val="both"/>
      </w:pPr>
      <w:r>
        <w:rPr>
          <w:b/>
          <w:bCs/>
          <w:i/>
          <w:iCs/>
          <w:color w:val="000000"/>
          <w:sz w:val="21"/>
          <w:szCs w:val="21"/>
        </w:rPr>
        <w:t xml:space="preserve">Insight: </w:t>
      </w:r>
      <w:r>
        <w:rPr>
          <w:i/>
          <w:iCs/>
          <w:color w:val="000000"/>
          <w:sz w:val="21"/>
          <w:szCs w:val="21"/>
        </w:rPr>
        <w:t xml:space="preserve">the top 8 of 50 branches by transaction amount all sit within roughly ₹82,092 of each other (Branch 47 to Branch 6), and the overall spread across all 50 branches (Branch 47's ₹26,66,372 down to Branch 19's ₹22,88,451) is only about 14% — activity is spread very evenly across the branch network, with no single branch standing out as unusually high- or low-traffic.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5.3 Transaction Volume Trend — Data Note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Unlike the loan trend, the "Transaction Volume Trend Over Time" chart is dominated almost entirely by its "(Blank)" bucket (roughly ₹11.9 crore of the ₹12.4 crore total), with only small slivers on the actual monthly bars. Of the 49,500 transactions, only 2,965 (about 6%) have a TransactionDate that lands exactly at midnight and matches the _Date Transactions table — the remaining 94% carry a time-of-day component, so they fall into the unmatched "(Blank)" category instead of their real month. The trend line as it currently stands should not be read as an accurate month-by-month picture; the underlying monthly totals (pulled directly, bypassing the date-table relationship) do follow a plausible pattern — for example ₹1.03L in Jan 2020 rising to ₹1.33L in Sep 2020 — so the transaction data itself looks sound, it's specifically this one visual's date matching that needs attention.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6. Dashboard Measures &amp; DAX Logic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All 38 measures are built on a single _Measures table (not on their respective fact tables), organised into five display folders for navigability in the Fields pane. A representative subset is summarised below; the full list is documented separately in the Measures Reference.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3400"/>
        <w:gridCol w:w="4050"/>
      </w:tblGrid>
      <w:tr>
        <w:trPr>
          <w:tblHeader/>
        </w:trPr>
        <w:tc>
          <w:tcPr>
            <w:tcW w:type="dxa" w:w="1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Display Folder</w:t>
            </w:r>
          </w:p>
        </w:tc>
        <w:tc>
          <w:tcPr>
            <w:tcW w:type="dxa" w:w="34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Measure</w:t>
            </w:r>
          </w:p>
        </w:tc>
        <w:tc>
          <w:tcPr>
            <w:tcW w:type="dxa" w:w="405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DAX Logic (summary)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Balance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SUM(accounts[Balance])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Inactive / Closed Accounts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CALCULATE([Account Count], account_statuses[StatusName] = "…")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Incoming Transaction Amount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CALCULATE(SUM…, USERELATIONSHIP(destination account))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Count (Distinct)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DISTINCTCOUNT(customers[CustomerID])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Customers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CALCULATE(…, customer_types[TypeName] &lt;&gt; "Individual")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Principal Amount / Average Interest Rate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SUM(loans[PrincipalAmount]) / AVERAGE(loans[InterestRate])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Overdue Loans / Overdue Principal Amount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CALCULATE(…, loan_statuses[StatusName] = "Overdue")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Deposit / Withdrawal / Transfer / Payment Amount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CALCULATE([Total Transaction Amount], transaction_types[TypeName] = "…")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Addresses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Branches at Address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CALCULATE(COUNTROWS(branches), USERELATIONSHIP(branches→addresses))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7"/>
          <w:szCs w:val="27"/>
        </w:rPr>
        <w:t xml:space="preserve">7. Key Takeaways &amp; Recommendations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Check the Executive Overview's "Account Portfolio by Status" donut — its Active segment reads 239 (matching Active Loans) instead of the correct 1,327 Active Accounts; Inactive and Closed are correctly wired. Likely a field left over from copying the Loan Portfolio visual.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Clean up the addresses[Country] field before using it for geographic slicing or the map visual — the Country slicer on the Transactions &amp; Branches page currently shows around ten near-duplicate variants of "United States" (typos/character substitutions), which will fragment any country-level grouping until standardised.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Investigate the -₹486.68 minimum account balance — confirm whether overdrafts are an expected product feature here, and if so, consider a dedicated "Overdrawn Accounts" measure to track them explicitly.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Both the Loan Principal Trend and, much more severely, the Transaction Volume Trend are distorted by the time-of-day mismatch between the raw date columns and the _Date tables — 94% of transactions currently fall into an unmatched "(Blank)" bucket. The underlying data itself is sound (confirmed via direct queries), so this is purely a relationship-matching issue on those two trend visuals specifically.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Branch performance is very evenly spread (top-to-bottom gap of only ~14% across all 50 branches), so branch-specific intervention isn't a priority — effort is better spent on the Overdue loan segment (10.3% of loans, ₹16,70,617 at risk) and on the Payment transaction type, which at 4,958 transactions is a clear minority alongside Deposit, Withdrawal, and Transfer.</w:t>
      </w:r>
    </w:p>
    <w:p>
      <w:pPr>
        <w:spacing w:after="120"/>
        <w:ind w:left="360" w:hanging="200"/>
      </w:pPr>
      <w:r>
        <w:rPr>
          <w:b/>
          <w:bCs/>
          <w:color w:val="000000"/>
          <w:sz w:val="21"/>
          <w:szCs w:val="21"/>
        </w:rPr>
        <w:t xml:space="preserve">•  </w:t>
      </w:r>
      <w:r>
        <w:rPr>
          <w:color w:val="000000"/>
          <w:sz w:val="21"/>
          <w:szCs w:val="21"/>
        </w:rPr>
        <w:t xml:space="preserve">Consider adding a Loan-to-Deposit ratio measure (Total Principal Amount ÷ Total Balance = 21.1% currently) — a standard banking KPI that isn't yet in the _Measures table but would fit naturally alongside the existing Loans folder.</w:t>
      </w:r>
    </w:p>
    <w:p>
      <w:pPr>
        <w:pBdr>
          <w:top w:val="single" w:color="000000" w:sz="6" w:space="4"/>
        </w:pBdr>
        <w:spacing w:before="300"/>
        <w:jc w:val="center"/>
      </w:pPr>
      <w:r>
        <w:rPr>
          <w:i/>
          <w:iCs/>
          <w:color w:val="000000"/>
          <w:sz w:val="18"/>
          <w:szCs w:val="18"/>
        </w:rPr>
        <w:t xml:space="preserve">Prepared from the connected Power BI semantic model (PBI5) and its dashboard screenshots (Executive Overview, Customer &amp; Account Analysis, Loan Analysis, Transactions &amp; Branches).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2026-08-28T08:49:27.037Z</dcterms:created>
  <dcterms:modified xsi:type="dcterms:W3CDTF">2026-08-28T08:49:27.049Z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