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left"/>
      </w:pPr>
      <w:r>
        <w:drawing>
          <wp:inline xmlns:a="http://schemas.openxmlformats.org/drawingml/2006/main" xmlns:pic="http://schemas.openxmlformats.org/drawingml/2006/picture">
            <wp:extent cx="2423160" cy="1152223"/>
            <wp:docPr id="1" name="Picture 1" title="Cabeus Explorer wordmark" descr="Two-line Cabeus Explorer wordmark separated by a gold r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eus-explorer-word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152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160"/>
      </w:pPr>
    </w:p>
    <w:p>
      <w:pPr>
        <w:keepNext/>
        <w:spacing w:before="0" w:after="320"/>
      </w:pPr>
      <w:r>
        <w:rPr>
          <w:rFonts w:ascii="Consolas" w:hAnsi="Consolas"/>
          <w:b/>
          <w:color w:val="725A26"/>
          <w:sz w:val="17"/>
        </w:rPr>
        <w:t>BRAND STANDARDS / VERSION 1.0</w:t>
      </w:r>
    </w:p>
    <w:p>
      <w:pPr>
        <w:spacing w:after="280" w:line="211" w:lineRule="auto"/>
      </w:pPr>
      <w:r>
        <w:rPr>
          <w:rFonts w:ascii="Georgia" w:hAnsi="Georgia"/>
          <w:color w:val="151513"/>
          <w:sz w:val="84"/>
        </w:rPr>
        <w:t>Style Guide</w:t>
      </w:r>
    </w:p>
    <w:p>
      <w:pPr>
        <w:spacing w:after="560"/>
        <w:pBdr>
          <w:bottom w:val="single" w:sz="10" w:space="9" w:color="AF9254"/>
        </w:pBdr>
      </w:pPr>
      <w:r>
        <w:rPr>
          <w:rFonts w:ascii="Arial" w:hAnsi="Arial"/>
          <w:color w:val="68645E"/>
          <w:sz w:val="28"/>
        </w:rPr>
        <w:t>Website, documents, and presentations</w:t>
      </w:r>
    </w:p>
    <w:p>
      <w:pPr>
        <w:spacing w:before="0" w:after="440" w:line="293" w:lineRule="auto"/>
      </w:pPr>
      <w:r>
        <w:rPr>
          <w:rFonts w:ascii="Arial" w:hAnsi="Arial"/>
          <w:i w:val="0"/>
          <w:color w:val="151513"/>
          <w:sz w:val="21"/>
        </w:rPr>
        <w:t>A practical system for presenting Cabeus Explorer as precise, independent intelligence for the people building the space and lunar economy.</w:t>
      </w:r>
    </w:p>
    <w:p>
      <w:pPr>
        <w:spacing w:before="480"/>
        <w:jc w:val="right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2" name="Picture 2" title="Cabeus Explorer lunar emblem" descr="Monochrome lunar industrial settlement and constellation embl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yle-guide-emble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76" w:lineRule="auto"/>
      </w:pPr>
      <w:r>
        <w:rPr>
          <w:rFonts w:ascii="Arial" w:hAnsi="Arial"/>
          <w:i w:val="0"/>
          <w:color w:val="68645E"/>
          <w:sz w:val="17"/>
        </w:rPr>
        <w:t>Approved working standard  |  Cabeus Explorer  |  July 2026</w:t>
      </w:r>
    </w:p>
    <w:p>
      <w:r>
        <w:br w:type="page"/>
      </w:r>
    </w:p>
    <w:p>
      <w:pPr>
        <w:keepNext/>
        <w:spacing w:before="0" w:after="120"/>
      </w:pPr>
      <w:r>
        <w:rPr>
          <w:rFonts w:ascii="Consolas" w:hAnsi="Consolas"/>
          <w:b/>
          <w:color w:val="725A26"/>
          <w:sz w:val="17"/>
        </w:rPr>
        <w:t>01 / USING THIS GUIDE</w:t>
      </w:r>
    </w:p>
    <w:p>
      <w:pPr>
        <w:keepNext/>
        <w:spacing w:before="0" w:after="180" w:line="226" w:lineRule="auto"/>
        <w:pBdr>
          <w:bottom w:val="single" w:sz="8" w:space="6" w:color="AF9254"/>
        </w:pBdr>
      </w:pPr>
      <w:r>
        <w:rPr>
          <w:rFonts w:ascii="Georgia" w:hAnsi="Georgia"/>
          <w:b w:val="0"/>
          <w:color w:val="151513"/>
          <w:sz w:val="60"/>
        </w:rPr>
        <w:t>One brand, three working surfaces</w:t>
      </w:r>
    </w:p>
    <w:p>
      <w:pPr>
        <w:spacing w:before="0" w:after="240" w:line="293" w:lineRule="auto"/>
      </w:pPr>
      <w:r>
        <w:rPr>
          <w:rFonts w:ascii="Arial" w:hAnsi="Arial"/>
          <w:i w:val="0"/>
          <w:color w:val="151513"/>
          <w:sz w:val="21"/>
        </w:rPr>
        <w:t>Cabeus Explorer should feel recognizably the same whether someone reads a headline, opens an executive brief, or watches a keynote presentation. The system is consistent, but each surface has its own density and behavior.</w:t>
      </w:r>
    </w:p>
    <w:p>
      <w:pPr>
        <w:pStyle w:val="Heading2"/>
      </w:pPr>
      <w:r>
        <w:t>The governing idea</w:t>
      </w:r>
    </w:p>
    <w:p>
      <w:pPr>
        <w:spacing w:before="140" w:after="200" w:line="281" w:lineRule="auto"/>
        <w:ind w:left="230" w:right="230"/>
        <w:shd w:fill="151513"/>
      </w:pPr>
      <w:r>
        <w:rPr>
          <w:rFonts w:ascii="Consolas" w:hAnsi="Consolas"/>
          <w:b/>
          <w:color w:val="AF9254"/>
          <w:sz w:val="17"/>
        </w:rPr>
        <w:t xml:space="preserve">BRAND PRINCIPLE  </w:t>
      </w:r>
      <w:r>
        <w:rPr>
          <w:rFonts w:ascii="Arial" w:hAnsi="Arial"/>
          <w:color w:val="F4F1EA"/>
          <w:sz w:val="20"/>
        </w:rPr>
        <w:t>Editorial clarity first. Every design choice should make complex space-industry information easier to understand, compare, and act on.</w:t>
      </w:r>
    </w:p>
    <w:p>
      <w:pPr>
        <w:pStyle w:val="Heading2"/>
      </w:pPr>
      <w:r>
        <w:t>Surface hierarchy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5" w:color="D8D2C8"/>
          <w:left w:val="single" w:sz="5" w:color="D8D2C8"/>
          <w:bottom w:val="single" w:sz="5" w:color="D8D2C8"/>
          <w:right w:val="single" w:sz="5" w:color="D8D2C8"/>
          <w:insideH w:val="single" w:sz="5" w:color="D8D2C8"/>
          <w:insideV w:val="single" w:sz="5" w:color="D8D2C8"/>
        </w:tblBorders>
      </w:tblPr>
      <w:tblGrid>
        <w:gridCol w:w="3000"/>
        <w:gridCol w:w="6060"/>
      </w:tblGrid>
      <w:tr>
        <w:trPr>
          <w:tblHeader w:val="true"/>
        </w:trP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Website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Editorial, current, and interactive. Use the light editorial palette by default; reserve dark mode for operational tools.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Documents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Durable, sourceable, and executive-ready. Prioritize reading rhythm, page navigation, evidence, and clean export to PDF.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Presentations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Visual, decisive, and room-readable. Use one idea per slide, strong imagery, and concise evidence.</w:t>
            </w:r>
          </w:p>
        </w:tc>
      </w:tr>
    </w:tbl>
    <w:p>
      <w:pPr>
        <w:pStyle w:val="Heading2"/>
      </w:pPr>
      <w:r>
        <w:t>Fast decisions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Use the approved wordmark, colors, and type hierarchy before inventing a new visual treatment.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Use gold as a signal and rule color, not as a body-text color on paper.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Use lunar and industrial imagery that shows actual people, hardware, infrastructure, terrain, or data.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Keep layouts square-edged, structured, and generous. Avoid decorative gradients, glow effects, and floating card stacks.</w:t>
      </w:r>
    </w:p>
    <w:p>
      <w:pPr>
        <w:spacing w:before="140" w:after="200" w:line="281" w:lineRule="auto"/>
        <w:ind w:left="230" w:right="230"/>
        <w:shd w:fill="E9E5DE"/>
      </w:pPr>
      <w:r>
        <w:rPr>
          <w:rFonts w:ascii="Consolas" w:hAnsi="Consolas"/>
          <w:b/>
          <w:color w:val="725A26"/>
          <w:sz w:val="17"/>
        </w:rPr>
        <w:t xml:space="preserve">PRIORITY  </w:t>
      </w:r>
      <w:r>
        <w:rPr>
          <w:rFonts w:ascii="Arial" w:hAnsi="Arial"/>
          <w:color w:val="151513"/>
          <w:sz w:val="20"/>
        </w:rPr>
        <w:t>When a rule conflicts with legibility, accessibility, or factual accuracy, legibility, accessibility, and factual accuracy win.</w:t>
      </w:r>
    </w:p>
    <w:p>
      <w:r>
        <w:br w:type="page"/>
      </w:r>
    </w:p>
    <w:p>
      <w:pPr>
        <w:keepNext/>
        <w:spacing w:before="0" w:after="120"/>
      </w:pPr>
      <w:r>
        <w:rPr>
          <w:rFonts w:ascii="Consolas" w:hAnsi="Consolas"/>
          <w:b/>
          <w:color w:val="725A26"/>
          <w:sz w:val="17"/>
        </w:rPr>
        <w:t>02 / BRAND FOUNDATION</w:t>
      </w:r>
    </w:p>
    <w:p>
      <w:pPr>
        <w:keepNext/>
        <w:spacing w:before="0" w:after="180" w:line="226" w:lineRule="auto"/>
        <w:pBdr>
          <w:bottom w:val="single" w:sz="8" w:space="6" w:color="AF9254"/>
        </w:pBdr>
      </w:pPr>
      <w:r>
        <w:rPr>
          <w:rFonts w:ascii="Georgia" w:hAnsi="Georgia"/>
          <w:b w:val="0"/>
          <w:color w:val="151513"/>
          <w:sz w:val="60"/>
        </w:rPr>
        <w:t>Independent intelligence for the space industrialist</w:t>
      </w:r>
    </w:p>
    <w:p>
      <w:pPr>
        <w:spacing w:before="0" w:after="240" w:line="293" w:lineRule="auto"/>
      </w:pPr>
      <w:r>
        <w:rPr>
          <w:rFonts w:ascii="Arial" w:hAnsi="Arial"/>
          <w:i w:val="0"/>
          <w:color w:val="151513"/>
          <w:sz w:val="21"/>
        </w:rPr>
        <w:t>Cabeus Explorer occupies the space between journalism, market intelligence, convening, and decision support. It should feel informed and ambitious without becoming promotional or speculative.</w:t>
      </w:r>
    </w:p>
    <w:p>
      <w:pPr>
        <w:pStyle w:val="Heading2"/>
      </w:pPr>
      <w:r>
        <w:t>Approved language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5" w:color="D8D2C8"/>
          <w:left w:val="single" w:sz="5" w:color="D8D2C8"/>
          <w:bottom w:val="single" w:sz="5" w:color="D8D2C8"/>
          <w:right w:val="single" w:sz="5" w:color="D8D2C8"/>
          <w:insideH w:val="single" w:sz="5" w:color="D8D2C8"/>
          <w:insideV w:val="single" w:sz="5" w:color="D8D2C8"/>
        </w:tblBorders>
      </w:tblPr>
      <w:tblGrid>
        <w:gridCol w:w="3000"/>
        <w:gridCol w:w="6060"/>
      </w:tblGrid>
      <w:tr>
        <w:trPr>
          <w:tblHeader w:val="true"/>
        </w:trP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Brand name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Cabeus Explorer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Functional descriptor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Intelligence for the space industrialist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Brand essence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Clarity in the new space age.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Primary audience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Executives, investors, operators, analysts, policymakers, researchers, and mission planners shaping the lunar and broader space economy.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Member tiers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Explorer, Scout, and Meridian</w:t>
            </w:r>
          </w:p>
        </w:tc>
      </w:tr>
    </w:tbl>
    <w:p>
      <w:pPr>
        <w:pStyle w:val="Heading2"/>
      </w:pPr>
      <w:r>
        <w:t>Personality</w:t>
      </w:r>
    </w:p>
    <w:p>
      <w:pPr>
        <w:spacing w:before="0" w:after="120" w:line="293" w:lineRule="auto"/>
      </w:pPr>
      <w:r>
        <w:rPr>
          <w:rFonts w:ascii="Arial" w:hAnsi="Arial"/>
          <w:b/>
          <w:color w:val="151513"/>
          <w:sz w:val="21"/>
        </w:rPr>
        <w:t>Precise.</w:t>
      </w:r>
      <w:r>
        <w:rPr>
          <w:rFonts w:ascii="Arial" w:hAnsi="Arial"/>
          <w:i w:val="0"/>
          <w:color w:val="151513"/>
          <w:sz w:val="21"/>
        </w:rPr>
        <w:t xml:space="preserve"> Specific nouns, dates, values, sources, and uncertainty.</w:t>
      </w:r>
    </w:p>
    <w:p>
      <w:pPr>
        <w:spacing w:before="0" w:after="120" w:line="293" w:lineRule="auto"/>
      </w:pPr>
      <w:r>
        <w:rPr>
          <w:rFonts w:ascii="Arial" w:hAnsi="Arial"/>
          <w:b/>
          <w:color w:val="151513"/>
          <w:sz w:val="21"/>
        </w:rPr>
        <w:t>Independent.</w:t>
      </w:r>
      <w:r>
        <w:rPr>
          <w:rFonts w:ascii="Arial" w:hAnsi="Arial"/>
          <w:i w:val="0"/>
          <w:color w:val="151513"/>
          <w:sz w:val="21"/>
        </w:rPr>
        <w:t xml:space="preserve"> Evidence before advocacy; disclose relationships and sponsorship.</w:t>
      </w:r>
    </w:p>
    <w:p>
      <w:pPr>
        <w:spacing w:before="0" w:after="120" w:line="293" w:lineRule="auto"/>
      </w:pPr>
      <w:r>
        <w:rPr>
          <w:rFonts w:ascii="Arial" w:hAnsi="Arial"/>
          <w:b/>
          <w:color w:val="151513"/>
          <w:sz w:val="21"/>
        </w:rPr>
        <w:t>Strategic.</w:t>
      </w:r>
      <w:r>
        <w:rPr>
          <w:rFonts w:ascii="Arial" w:hAnsi="Arial"/>
          <w:i w:val="0"/>
          <w:color w:val="151513"/>
          <w:sz w:val="21"/>
        </w:rPr>
        <w:t xml:space="preserve"> Explain market movement, industrial consequences, and decision relevance.</w:t>
      </w:r>
    </w:p>
    <w:p>
      <w:pPr>
        <w:spacing w:before="0" w:after="120" w:line="293" w:lineRule="auto"/>
      </w:pPr>
      <w:r>
        <w:rPr>
          <w:rFonts w:ascii="Arial" w:hAnsi="Arial"/>
          <w:b/>
          <w:color w:val="151513"/>
          <w:sz w:val="21"/>
        </w:rPr>
        <w:t>Forward-looking.</w:t>
      </w:r>
      <w:r>
        <w:rPr>
          <w:rFonts w:ascii="Arial" w:hAnsi="Arial"/>
          <w:i w:val="0"/>
          <w:color w:val="151513"/>
          <w:sz w:val="21"/>
        </w:rPr>
        <w:t xml:space="preserve"> Cover what is being built next without treating forecasts as facts.</w:t>
      </w:r>
    </w:p>
    <w:p>
      <w:pPr>
        <w:spacing w:before="0" w:after="120" w:line="293" w:lineRule="auto"/>
      </w:pPr>
      <w:r>
        <w:rPr>
          <w:rFonts w:ascii="Arial" w:hAnsi="Arial"/>
          <w:b/>
          <w:color w:val="151513"/>
          <w:sz w:val="21"/>
        </w:rPr>
        <w:t>Human.</w:t>
      </w:r>
      <w:r>
        <w:rPr>
          <w:rFonts w:ascii="Arial" w:hAnsi="Arial"/>
          <w:i w:val="0"/>
          <w:color w:val="151513"/>
          <w:sz w:val="21"/>
        </w:rPr>
        <w:t xml:space="preserve"> Write for informed people, not for a machine or a procurement form.</w:t>
      </w:r>
    </w:p>
    <w:p>
      <w:pPr>
        <w:pStyle w:val="Heading2"/>
      </w:pPr>
      <w:r>
        <w:t>Brand architecture</w:t>
      </w:r>
    </w:p>
    <w:p>
      <w:pPr>
        <w:spacing w:before="0" w:after="120" w:line="293" w:lineRule="auto"/>
      </w:pPr>
      <w:r>
        <w:rPr>
          <w:rFonts w:ascii="Arial" w:hAnsi="Arial"/>
          <w:i w:val="0"/>
          <w:color w:val="151513"/>
          <w:sz w:val="21"/>
        </w:rPr>
        <w:t>Cabeus Explorer is the master brand. Named products and events sit beneath it: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Moonberg with Kevin Cirilli - flagship newsletter.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Cabeus Terminal and Nexus - member intelligence tools.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Space Investment Forum and Space Industrialist Week - convenings.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Cabeus Games - competitive technical and industrial programming.</w:t>
      </w:r>
    </w:p>
    <w:p>
      <w:r>
        <w:br w:type="page"/>
      </w:r>
    </w:p>
    <w:p>
      <w:pPr>
        <w:keepNext/>
        <w:spacing w:before="0" w:after="120"/>
      </w:pPr>
      <w:r>
        <w:rPr>
          <w:rFonts w:ascii="Consolas" w:hAnsi="Consolas"/>
          <w:b/>
          <w:color w:val="725A26"/>
          <w:sz w:val="17"/>
        </w:rPr>
        <w:t>03 / LOGO SYSTEM</w:t>
      </w:r>
    </w:p>
    <w:p>
      <w:pPr>
        <w:keepNext/>
        <w:spacing w:before="0" w:after="180" w:line="226" w:lineRule="auto"/>
        <w:pBdr>
          <w:bottom w:val="single" w:sz="8" w:space="6" w:color="AF9254"/>
        </w:pBdr>
      </w:pPr>
      <w:r>
        <w:rPr>
          <w:rFonts w:ascii="Georgia" w:hAnsi="Georgia"/>
          <w:b w:val="0"/>
          <w:color w:val="151513"/>
          <w:sz w:val="60"/>
        </w:rPr>
        <w:t>A quiet wordmark with an industrial lunar emblem</w:t>
      </w:r>
    </w:p>
    <w:p>
      <w:pPr>
        <w:spacing w:before="0" w:after="240" w:line="293" w:lineRule="auto"/>
      </w:pPr>
      <w:r>
        <w:rPr>
          <w:rFonts w:ascii="Arial" w:hAnsi="Arial"/>
          <w:i w:val="0"/>
          <w:color w:val="151513"/>
          <w:sz w:val="21"/>
        </w:rPr>
        <w:t>The wordmark is the primary identifier. The emblem is a supporting mark for avatars, favicons, covers, event materials, and moments where a compact visual anchor is needed.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514600" cy="1195703"/>
            <wp:docPr id="3" name="Picture 3" title="Primary Cabeus Explorer wordmark" descr="Approved two-line Cabeus Explorer wordmar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eus-explorer-word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95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</w:pPr>
      <w:r>
        <w:rPr>
          <w:rFonts w:ascii="Arial" w:hAnsi="Arial"/>
          <w:i w:val="0"/>
          <w:color w:val="68645E"/>
          <w:sz w:val="17"/>
        </w:rPr>
        <w:t>PRIMARY WORDMARK  /  Use for mastheads, covers, document headers, title slides, and publisher identification.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4" name="Picture 4" title="Supporting Cabeus Explorer emblem" descr="Approved lunar infrastructure and constellation embl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yle-guide-emble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</w:pPr>
      <w:r>
        <w:rPr>
          <w:rFonts w:ascii="Arial" w:hAnsi="Arial"/>
          <w:i w:val="0"/>
          <w:color w:val="68645E"/>
          <w:sz w:val="17"/>
        </w:rPr>
        <w:t>SUPPORTING EMBLEM  /  Use when the wordmark is already present or space is constrained.</w:t>
      </w:r>
    </w:p>
    <w:p>
      <w:pPr>
        <w:pStyle w:val="Heading2"/>
      </w:pPr>
      <w:r>
        <w:t>Clear space and minimum size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5" w:color="D8D2C8"/>
          <w:left w:val="single" w:sz="5" w:color="D8D2C8"/>
          <w:bottom w:val="single" w:sz="5" w:color="D8D2C8"/>
          <w:right w:val="single" w:sz="5" w:color="D8D2C8"/>
          <w:insideH w:val="single" w:sz="5" w:color="D8D2C8"/>
          <w:insideV w:val="single" w:sz="5" w:color="D8D2C8"/>
        </w:tblBorders>
      </w:tblPr>
      <w:tblGrid>
        <w:gridCol w:w="3000"/>
        <w:gridCol w:w="6060"/>
      </w:tblGrid>
      <w:tr>
        <w:trPr>
          <w:tblHeader w:val="true"/>
        </w:trP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Clear space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Keep open space equal to the cap height of the word C A B E U S on every side.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Wordmark minimum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Digital: 160 px wide. Print: 1.4 in wide.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Emblem minimum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Digital: 32 px. Print: 0.4 in. Use the simplified icon assets at very small sizes.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Background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Prefer Paper, Ink, or a quiet image area with strong contrast. Never place the wordmark over a busy subject.</w:t>
            </w:r>
          </w:p>
        </w:tc>
      </w:tr>
    </w:tbl>
    <w:tbl>
      <w:tblPr>
        <w:tblW w:type="dxa" w:w="9993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5" w:color="D8D2C8"/>
          <w:left w:val="single" w:sz="5" w:color="D8D2C8"/>
          <w:bottom w:val="single" w:sz="5" w:color="D8D2C8"/>
          <w:right w:val="single" w:sz="5" w:color="D8D2C8"/>
          <w:insideH w:val="single" w:sz="5" w:color="D8D2C8"/>
          <w:insideV w:val="single" w:sz="5" w:color="D8D2C8"/>
        </w:tblBorders>
      </w:tblPr>
      <w:tblGrid>
        <w:gridCol w:w="4996"/>
        <w:gridCol w:w="4997"/>
      </w:tblGrid>
      <w:tr>
        <w:trPr>
          <w:tblHeader w:val="true"/>
        </w:trPr>
        <w:tc>
          <w:tcPr>
            <w:tcW w:type="dxa" w:w="4996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AF9254"/>
                <w:sz w:val="18"/>
              </w:rPr>
              <w:t>DO</w:t>
            </w:r>
          </w:p>
        </w:tc>
        <w:tc>
          <w:tcPr>
            <w:tcW w:type="dxa" w:w="4997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725A26"/>
                <w:sz w:val="18"/>
              </w:rPr>
              <w:t>DO NOT</w:t>
            </w:r>
          </w:p>
        </w:tc>
      </w:tr>
      <w:tr>
        <w:tc>
          <w:tcPr>
            <w:tcW w:type="dxa" w:w="4996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F4F1EA"/>
                <w:sz w:val="18"/>
              </w:rPr>
              <w:t>Use supplied artwork and maintain its aspect ratio.</w:t>
            </w:r>
          </w:p>
        </w:tc>
        <w:tc>
          <w:tcPr>
            <w:tcW w:type="dxa" w:w="4997"/>
            <w:shd w:fill="F4F1EA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Stretch, rotate, outline, recolor, or add shadows.</w:t>
            </w:r>
          </w:p>
        </w:tc>
      </w:tr>
      <w:tr>
        <w:tc>
          <w:tcPr>
            <w:tcW w:type="dxa" w:w="4996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F4F1EA"/>
                <w:sz w:val="18"/>
              </w:rPr>
              <w:t>Use one logo lockup per composition.</w:t>
            </w:r>
          </w:p>
        </w:tc>
        <w:tc>
          <w:tcPr>
            <w:tcW w:type="dxa" w:w="4997"/>
            <w:shd w:fill="F4F1EA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Crop the emblem or place type inside it.</w:t>
            </w:r>
          </w:p>
        </w:tc>
      </w:tr>
    </w:tbl>
    <w:p>
      <w:r>
        <w:br w:type="page"/>
      </w:r>
    </w:p>
    <w:p>
      <w:pPr>
        <w:keepNext/>
        <w:spacing w:before="0" w:after="120"/>
      </w:pPr>
      <w:r>
        <w:rPr>
          <w:rFonts w:ascii="Consolas" w:hAnsi="Consolas"/>
          <w:b/>
          <w:color w:val="725A26"/>
          <w:sz w:val="17"/>
        </w:rPr>
        <w:t>04 / COLOR</w:t>
      </w:r>
    </w:p>
    <w:p>
      <w:pPr>
        <w:keepNext/>
        <w:spacing w:before="0" w:after="180" w:line="226" w:lineRule="auto"/>
        <w:pBdr>
          <w:bottom w:val="single" w:sz="8" w:space="6" w:color="AF9254"/>
        </w:pBdr>
      </w:pPr>
      <w:r>
        <w:rPr>
          <w:rFonts w:ascii="Georgia" w:hAnsi="Georgia"/>
          <w:b w:val="0"/>
          <w:color w:val="151513"/>
          <w:sz w:val="60"/>
        </w:rPr>
        <w:t>Editorial light by default; operational dark by purpose</w:t>
      </w:r>
    </w:p>
    <w:p>
      <w:pPr>
        <w:spacing w:before="0" w:after="240" w:line="293" w:lineRule="auto"/>
      </w:pPr>
      <w:r>
        <w:rPr>
          <w:rFonts w:ascii="Arial" w:hAnsi="Arial"/>
          <w:i w:val="0"/>
          <w:color w:val="151513"/>
          <w:sz w:val="21"/>
        </w:rPr>
        <w:t>The light palette carries public news, membership, convening, and corporate materials. The dark palette is a secondary system for terminals, dashboards, technical studios, and high-density status displays.</w:t>
      </w:r>
    </w:p>
    <w:p>
      <w:pPr>
        <w:pStyle w:val="Heading2"/>
      </w:pPr>
      <w:r>
        <w:t>Primary editorial palette</w:t>
      </w:r>
    </w:p>
    <w:tbl>
      <w:tblPr>
        <w:tblW w:type="dxa" w:w="9993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5" w:color="D8D2C8"/>
          <w:left w:val="single" w:sz="5" w:color="D8D2C8"/>
          <w:bottom w:val="single" w:sz="5" w:color="D8D2C8"/>
          <w:right w:val="single" w:sz="5" w:color="D8D2C8"/>
          <w:insideH w:val="single" w:sz="5" w:color="D8D2C8"/>
          <w:insideV w:val="single" w:sz="5" w:color="D8D2C8"/>
        </w:tblBorders>
      </w:tblPr>
      <w:tblGrid>
        <w:gridCol w:w="1600"/>
        <w:gridCol w:w="2400"/>
        <w:gridCol w:w="5993"/>
      </w:tblGrid>
      <w:tr>
        <w:trPr>
          <w:tblHeader w:val="true"/>
        </w:trPr>
        <w:tc>
          <w:tcPr>
            <w:tcW w:type="dxa" w:w="1600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F4F1EA"/>
                <w:sz w:val="16"/>
              </w:rPr>
              <w:t>SWATCH</w:t>
            </w:r>
          </w:p>
        </w:tc>
        <w:tc>
          <w:tcPr>
            <w:tcW w:type="dxa" w:w="2400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F4F1EA"/>
                <w:sz w:val="16"/>
              </w:rPr>
              <w:t>TOKEN</w:t>
            </w:r>
          </w:p>
        </w:tc>
        <w:tc>
          <w:tcPr>
            <w:tcW w:type="dxa" w:w="5993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F4F1EA"/>
                <w:sz w:val="16"/>
              </w:rPr>
              <w:t>APPLICATION</w:t>
            </w:r>
          </w:p>
        </w:tc>
      </w:tr>
      <w:tr>
        <w:tc>
          <w:tcPr>
            <w:tcW w:type="dxa" w:w="1600"/>
            <w:shd w:fill="F4F1EA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151513"/>
                <w:sz w:val="18"/>
              </w:rPr>
              <w:t>F4F1EA</w:t>
            </w:r>
          </w:p>
        </w:tc>
        <w:tc>
          <w:tcPr>
            <w:tcW w:type="dxa" w:w="240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Paper</w:t>
            </w:r>
          </w:p>
        </w:tc>
        <w:tc>
          <w:tcPr>
            <w:tcW w:type="dxa" w:w="599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Primary page and slide background.</w:t>
            </w:r>
          </w:p>
        </w:tc>
      </w:tr>
      <w:tr>
        <w:tc>
          <w:tcPr>
            <w:tcW w:type="dxa" w:w="1600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F4F1EA"/>
                <w:sz w:val="18"/>
              </w:rPr>
              <w:t>151513</w:t>
            </w:r>
          </w:p>
        </w:tc>
        <w:tc>
          <w:tcPr>
            <w:tcW w:type="dxa" w:w="240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Ink</w:t>
            </w:r>
          </w:p>
        </w:tc>
        <w:tc>
          <w:tcPr>
            <w:tcW w:type="dxa" w:w="599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Headlines, body text, navigation, primary buttons.</w:t>
            </w:r>
          </w:p>
        </w:tc>
      </w:tr>
      <w:tr>
        <w:tc>
          <w:tcPr>
            <w:tcW w:type="dxa" w:w="16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151513"/>
                <w:sz w:val="18"/>
              </w:rPr>
              <w:t>E9E5DE</w:t>
            </w:r>
          </w:p>
        </w:tc>
        <w:tc>
          <w:tcPr>
            <w:tcW w:type="dxa" w:w="240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Smoke</w:t>
            </w:r>
          </w:p>
        </w:tc>
        <w:tc>
          <w:tcPr>
            <w:tcW w:type="dxa" w:w="599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Subtle bands, form fields, quiet emphasis.</w:t>
            </w:r>
          </w:p>
        </w:tc>
      </w:tr>
      <w:tr>
        <w:tc>
          <w:tcPr>
            <w:tcW w:type="dxa" w:w="1600"/>
            <w:shd w:fill="D8D2C8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151513"/>
                <w:sz w:val="18"/>
              </w:rPr>
              <w:t>D8D2C8</w:t>
            </w:r>
          </w:p>
        </w:tc>
        <w:tc>
          <w:tcPr>
            <w:tcW w:type="dxa" w:w="240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Line</w:t>
            </w:r>
          </w:p>
        </w:tc>
        <w:tc>
          <w:tcPr>
            <w:tcW w:type="dxa" w:w="599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Rules, borders, dividers, table grid.</w:t>
            </w:r>
          </w:p>
        </w:tc>
      </w:tr>
      <w:tr>
        <w:tc>
          <w:tcPr>
            <w:tcW w:type="dxa" w:w="1600"/>
            <w:shd w:fill="68645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F4F1EA"/>
                <w:sz w:val="18"/>
              </w:rPr>
              <w:t>68645E</w:t>
            </w:r>
          </w:p>
        </w:tc>
        <w:tc>
          <w:tcPr>
            <w:tcW w:type="dxa" w:w="240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Muted</w:t>
            </w:r>
          </w:p>
        </w:tc>
        <w:tc>
          <w:tcPr>
            <w:tcW w:type="dxa" w:w="599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Secondary copy and captions. 5.21:1 on Paper.</w:t>
            </w:r>
          </w:p>
        </w:tc>
      </w:tr>
      <w:tr>
        <w:tc>
          <w:tcPr>
            <w:tcW w:type="dxa" w:w="1600"/>
            <w:shd w:fill="725A26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F4F1EA"/>
                <w:sz w:val="18"/>
              </w:rPr>
              <w:t>725A26</w:t>
            </w:r>
          </w:p>
        </w:tc>
        <w:tc>
          <w:tcPr>
            <w:tcW w:type="dxa" w:w="240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Bronze</w:t>
            </w:r>
          </w:p>
        </w:tc>
        <w:tc>
          <w:tcPr>
            <w:tcW w:type="dxa" w:w="599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Accessible labels and text accents. 5.81:1 on Paper.</w:t>
            </w:r>
          </w:p>
        </w:tc>
      </w:tr>
      <w:tr>
        <w:tc>
          <w:tcPr>
            <w:tcW w:type="dxa" w:w="1600"/>
            <w:shd w:fill="AF925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151513"/>
                <w:sz w:val="18"/>
              </w:rPr>
              <w:t>AF9254</w:t>
            </w:r>
          </w:p>
        </w:tc>
        <w:tc>
          <w:tcPr>
            <w:tcW w:type="dxa" w:w="240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Gold</w:t>
            </w:r>
          </w:p>
        </w:tc>
        <w:tc>
          <w:tcPr>
            <w:tcW w:type="dxa" w:w="599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Rules, icons, large signals, and non-text accents only.</w:t>
            </w:r>
          </w:p>
        </w:tc>
      </w:tr>
    </w:tbl>
    <w:p>
      <w:pPr>
        <w:pStyle w:val="Heading2"/>
      </w:pPr>
      <w:r>
        <w:t>Secondary operational palette</w:t>
      </w:r>
    </w:p>
    <w:tbl>
      <w:tblPr>
        <w:tblW w:type="dxa" w:w="9993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5" w:color="D8D2C8"/>
          <w:left w:val="single" w:sz="5" w:color="D8D2C8"/>
          <w:bottom w:val="single" w:sz="5" w:color="D8D2C8"/>
          <w:right w:val="single" w:sz="5" w:color="D8D2C8"/>
          <w:insideH w:val="single" w:sz="5" w:color="D8D2C8"/>
          <w:insideV w:val="single" w:sz="5" w:color="D8D2C8"/>
        </w:tblBorders>
      </w:tblPr>
      <w:tblGrid>
        <w:gridCol w:w="1600"/>
        <w:gridCol w:w="2400"/>
        <w:gridCol w:w="5993"/>
      </w:tblGrid>
      <w:tr>
        <w:trPr>
          <w:tblHeader w:val="true"/>
        </w:trPr>
        <w:tc>
          <w:tcPr>
            <w:tcW w:type="dxa" w:w="1600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F4F1EA"/>
                <w:sz w:val="16"/>
              </w:rPr>
              <w:t>SWATCH</w:t>
            </w:r>
          </w:p>
        </w:tc>
        <w:tc>
          <w:tcPr>
            <w:tcW w:type="dxa" w:w="2400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F4F1EA"/>
                <w:sz w:val="16"/>
              </w:rPr>
              <w:t>TOKEN</w:t>
            </w:r>
          </w:p>
        </w:tc>
        <w:tc>
          <w:tcPr>
            <w:tcW w:type="dxa" w:w="5993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F4F1EA"/>
                <w:sz w:val="16"/>
              </w:rPr>
              <w:t>APPLICATION</w:t>
            </w:r>
          </w:p>
        </w:tc>
      </w:tr>
      <w:tr>
        <w:tc>
          <w:tcPr>
            <w:tcW w:type="dxa" w:w="1600"/>
            <w:shd w:fill="0D1114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EEF1F3"/>
                <w:sz w:val="18"/>
              </w:rPr>
              <w:t>0D1114</w:t>
            </w:r>
          </w:p>
        </w:tc>
        <w:tc>
          <w:tcPr>
            <w:tcW w:type="dxa" w:w="240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Deep Space</w:t>
            </w:r>
          </w:p>
        </w:tc>
        <w:tc>
          <w:tcPr>
            <w:tcW w:type="dxa" w:w="599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Terminal and studio background.</w:t>
            </w:r>
          </w:p>
        </w:tc>
      </w:tr>
      <w:tr>
        <w:tc>
          <w:tcPr>
            <w:tcW w:type="dxa" w:w="1600"/>
            <w:shd w:fill="1E222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EEF1F3"/>
                <w:sz w:val="18"/>
              </w:rPr>
              <w:t>1E2227</w:t>
            </w:r>
          </w:p>
        </w:tc>
        <w:tc>
          <w:tcPr>
            <w:tcW w:type="dxa" w:w="240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Graphite</w:t>
            </w:r>
          </w:p>
        </w:tc>
        <w:tc>
          <w:tcPr>
            <w:tcW w:type="dxa" w:w="599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Panels, navigation, dense operational surfaces.</w:t>
            </w:r>
          </w:p>
        </w:tc>
      </w:tr>
      <w:tr>
        <w:tc>
          <w:tcPr>
            <w:tcW w:type="dxa" w:w="1600"/>
            <w:shd w:fill="EEF1F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151513"/>
                <w:sz w:val="18"/>
              </w:rPr>
              <w:t>EEF1F3</w:t>
            </w:r>
          </w:p>
        </w:tc>
        <w:tc>
          <w:tcPr>
            <w:tcW w:type="dxa" w:w="240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Steel</w:t>
            </w:r>
          </w:p>
        </w:tc>
        <w:tc>
          <w:tcPr>
            <w:tcW w:type="dxa" w:w="599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Primary text on dark surfaces.</w:t>
            </w:r>
          </w:p>
        </w:tc>
      </w:tr>
      <w:tr>
        <w:tc>
          <w:tcPr>
            <w:tcW w:type="dxa" w:w="1600"/>
            <w:shd w:fill="F3A71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151513"/>
                <w:sz w:val="18"/>
              </w:rPr>
              <w:t>F3A712</w:t>
            </w:r>
          </w:p>
        </w:tc>
        <w:tc>
          <w:tcPr>
            <w:tcW w:type="dxa" w:w="240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Safety Amber</w:t>
            </w:r>
          </w:p>
        </w:tc>
        <w:tc>
          <w:tcPr>
            <w:tcW w:type="dxa" w:w="599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Actions and high-priority signals.</w:t>
            </w:r>
          </w:p>
        </w:tc>
      </w:tr>
      <w:tr>
        <w:tc>
          <w:tcPr>
            <w:tcW w:type="dxa" w:w="1600"/>
            <w:shd w:fill="B9A98B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151513"/>
                <w:sz w:val="18"/>
              </w:rPr>
              <w:t>B9A98B</w:t>
            </w:r>
          </w:p>
        </w:tc>
        <w:tc>
          <w:tcPr>
            <w:tcW w:type="dxa" w:w="240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Regolith</w:t>
            </w:r>
          </w:p>
        </w:tc>
        <w:tc>
          <w:tcPr>
            <w:tcW w:type="dxa" w:w="599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Secondary text and quiet industrial accents.</w:t>
            </w:r>
          </w:p>
        </w:tc>
      </w:tr>
      <w:tr>
        <w:tc>
          <w:tcPr>
            <w:tcW w:type="dxa" w:w="1600"/>
            <w:shd w:fill="A34A3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EEF1F3"/>
                <w:sz w:val="18"/>
              </w:rPr>
              <w:t>A34A32</w:t>
            </w:r>
          </w:p>
        </w:tc>
        <w:tc>
          <w:tcPr>
            <w:tcW w:type="dxa" w:w="240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Oxide</w:t>
            </w:r>
          </w:p>
        </w:tc>
        <w:tc>
          <w:tcPr>
            <w:tcW w:type="dxa" w:w="599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Risk, disruption, or warning states; never decoration.</w:t>
            </w:r>
          </w:p>
        </w:tc>
      </w:tr>
      <w:tr>
        <w:tc>
          <w:tcPr>
            <w:tcW w:type="dxa" w:w="1600"/>
            <w:shd w:fill="6D747D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EEF1F3"/>
                <w:sz w:val="18"/>
              </w:rPr>
              <w:t>6D747D</w:t>
            </w:r>
          </w:p>
        </w:tc>
        <w:tc>
          <w:tcPr>
            <w:tcW w:type="dxa" w:w="240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Machine</w:t>
            </w:r>
          </w:p>
        </w:tc>
        <w:tc>
          <w:tcPr>
            <w:tcW w:type="dxa" w:w="599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Disabled or tertiary information; validate contrast.</w:t>
            </w:r>
          </w:p>
        </w:tc>
      </w:tr>
    </w:tbl>
    <w:p>
      <w:pPr>
        <w:spacing w:after="0" w:line="276" w:lineRule="auto"/>
      </w:pPr>
      <w:r>
        <w:rPr>
          <w:rFonts w:ascii="Arial" w:hAnsi="Arial"/>
          <w:i w:val="0"/>
          <w:color w:val="725A26"/>
          <w:sz w:val="17"/>
        </w:rPr>
        <w:t>COLOR RULE  /  Pick one mode. Use the other only for a deliberate inset, chart, or operational panel.</w:t>
      </w:r>
    </w:p>
    <w:p>
      <w:r>
        <w:br w:type="page"/>
      </w:r>
    </w:p>
    <w:p>
      <w:pPr>
        <w:keepNext/>
        <w:spacing w:before="0" w:after="120"/>
      </w:pPr>
      <w:r>
        <w:rPr>
          <w:rFonts w:ascii="Consolas" w:hAnsi="Consolas"/>
          <w:b/>
          <w:color w:val="725A26"/>
          <w:sz w:val="17"/>
        </w:rPr>
        <w:t>05 / TYPOGRAPHY</w:t>
      </w:r>
    </w:p>
    <w:p>
      <w:pPr>
        <w:keepNext/>
        <w:spacing w:before="0" w:after="180" w:line="226" w:lineRule="auto"/>
        <w:pBdr>
          <w:bottom w:val="single" w:sz="8" w:space="6" w:color="AF9254"/>
        </w:pBdr>
      </w:pPr>
      <w:r>
        <w:rPr>
          <w:rFonts w:ascii="Georgia" w:hAnsi="Georgia"/>
          <w:b w:val="0"/>
          <w:color w:val="151513"/>
          <w:sz w:val="60"/>
        </w:rPr>
        <w:t>Editorial authority, modern clarity, technical precision</w:t>
      </w:r>
    </w:p>
    <w:p>
      <w:pPr>
        <w:spacing w:before="0" w:after="240" w:line="293" w:lineRule="auto"/>
      </w:pPr>
      <w:r>
        <w:rPr>
          <w:rFonts w:ascii="Arial" w:hAnsi="Arial"/>
          <w:i w:val="0"/>
          <w:color w:val="151513"/>
          <w:sz w:val="21"/>
        </w:rPr>
        <w:t>Three type families create the voice: an editorial serif for headlines, a modern sans serif for reading and interface copy, and a monospaced face for data, labels, dates, and system language.</w:t>
      </w:r>
    </w:p>
    <w:p>
      <w:pPr>
        <w:pStyle w:val="Heading2"/>
      </w:pPr>
      <w:r>
        <w:t>Primary families</w:t>
      </w:r>
    </w:p>
    <w:tbl>
      <w:tblPr>
        <w:tblW w:type="dxa" w:w="9993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5" w:color="D8D2C8"/>
          <w:left w:val="single" w:sz="5" w:color="D8D2C8"/>
          <w:bottom w:val="single" w:sz="5" w:color="D8D2C8"/>
          <w:right w:val="single" w:sz="5" w:color="D8D2C8"/>
          <w:insideH w:val="single" w:sz="5" w:color="D8D2C8"/>
          <w:insideV w:val="single" w:sz="5" w:color="D8D2C8"/>
        </w:tblBorders>
      </w:tblPr>
      <w:tblGrid>
        <w:gridCol w:w="2250"/>
        <w:gridCol w:w="1500"/>
        <w:gridCol w:w="3900"/>
        <w:gridCol w:w="2343"/>
      </w:tblGrid>
      <w:tr>
        <w:trPr>
          <w:tblHeader w:val="true"/>
        </w:trPr>
        <w:tc>
          <w:tcPr>
            <w:tcW w:type="dxa" w:w="2250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F4F1EA"/>
                <w:sz w:val="16"/>
              </w:rPr>
              <w:t>FAMILY</w:t>
            </w:r>
          </w:p>
        </w:tc>
        <w:tc>
          <w:tcPr>
            <w:tcW w:type="dxa" w:w="1500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F4F1EA"/>
                <w:sz w:val="16"/>
              </w:rPr>
              <w:t>ROLE</w:t>
            </w:r>
          </w:p>
        </w:tc>
        <w:tc>
          <w:tcPr>
            <w:tcW w:type="dxa" w:w="3900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F4F1EA"/>
                <w:sz w:val="16"/>
              </w:rPr>
              <w:t>USE</w:t>
            </w:r>
          </w:p>
        </w:tc>
        <w:tc>
          <w:tcPr>
            <w:tcW w:type="dxa" w:w="2343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F4F1EA"/>
                <w:sz w:val="16"/>
              </w:rPr>
              <w:t>FALLBACK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Georgia" w:hAnsi="Georgia"/>
                <w:b/>
                <w:color w:val="151513"/>
                <w:sz w:val="17"/>
              </w:rPr>
              <w:t>Cormorant Garamond</w:t>
            </w:r>
          </w:p>
        </w:tc>
        <w:tc>
          <w:tcPr>
            <w:tcW w:type="dxa" w:w="150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151513"/>
                <w:sz w:val="17"/>
              </w:rPr>
              <w:t>Display serif</w:t>
            </w:r>
          </w:p>
        </w:tc>
        <w:tc>
          <w:tcPr>
            <w:tcW w:type="dxa" w:w="390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151513"/>
                <w:sz w:val="17"/>
              </w:rPr>
              <w:t>Hero headlines, feature titles, pull quotes, major section headings.</w:t>
            </w:r>
          </w:p>
        </w:tc>
        <w:tc>
          <w:tcPr>
            <w:tcW w:type="dxa" w:w="234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151513"/>
                <w:sz w:val="17"/>
              </w:rPr>
              <w:t>Georgia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Georgia" w:hAnsi="Georgia"/>
                <w:b/>
                <w:color w:val="151513"/>
                <w:sz w:val="17"/>
              </w:rPr>
              <w:t>DM Sans</w:t>
            </w:r>
          </w:p>
        </w:tc>
        <w:tc>
          <w:tcPr>
            <w:tcW w:type="dxa" w:w="150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151513"/>
                <w:sz w:val="17"/>
              </w:rPr>
              <w:t>Primary sans</w:t>
            </w:r>
          </w:p>
        </w:tc>
        <w:tc>
          <w:tcPr>
            <w:tcW w:type="dxa" w:w="390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151513"/>
                <w:sz w:val="17"/>
              </w:rPr>
              <w:t>Body copy, navigation, buttons, forms, captions, and most document text.</w:t>
            </w:r>
          </w:p>
        </w:tc>
        <w:tc>
          <w:tcPr>
            <w:tcW w:type="dxa" w:w="234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151513"/>
                <w:sz w:val="17"/>
              </w:rPr>
              <w:t>Arial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Georgia" w:hAnsi="Georgia"/>
                <w:b/>
                <w:color w:val="151513"/>
                <w:sz w:val="17"/>
              </w:rPr>
              <w:t>IBM Plex Mono</w:t>
            </w:r>
          </w:p>
        </w:tc>
        <w:tc>
          <w:tcPr>
            <w:tcW w:type="dxa" w:w="150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151513"/>
                <w:sz w:val="17"/>
              </w:rPr>
              <w:t>Technical mono</w:t>
            </w:r>
          </w:p>
        </w:tc>
        <w:tc>
          <w:tcPr>
            <w:tcW w:type="dxa" w:w="390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151513"/>
                <w:sz w:val="17"/>
              </w:rPr>
              <w:t>Kickers, dates, market data, metadata, source labels, and code-like identifiers.</w:t>
            </w:r>
          </w:p>
        </w:tc>
        <w:tc>
          <w:tcPr>
            <w:tcW w:type="dxa" w:w="234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151513"/>
                <w:sz w:val="17"/>
              </w:rPr>
              <w:t>Consolas</w:t>
            </w:r>
          </w:p>
        </w:tc>
      </w:tr>
    </w:tbl>
    <w:p>
      <w:pPr>
        <w:pStyle w:val="Heading2"/>
      </w:pPr>
      <w:r>
        <w:t>Type scales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5" w:color="D8D2C8"/>
          <w:left w:val="single" w:sz="5" w:color="D8D2C8"/>
          <w:bottom w:val="single" w:sz="5" w:color="D8D2C8"/>
          <w:right w:val="single" w:sz="5" w:color="D8D2C8"/>
          <w:insideH w:val="single" w:sz="5" w:color="D8D2C8"/>
          <w:insideV w:val="single" w:sz="5" w:color="D8D2C8"/>
        </w:tblBorders>
      </w:tblPr>
      <w:tblGrid>
        <w:gridCol w:w="3000"/>
        <w:gridCol w:w="6060"/>
      </w:tblGrid>
      <w:tr>
        <w:trPr>
          <w:tblHeader w:val="true"/>
        </w:trP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Website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Hero 60-124 px; H1 48-72 px; section 36-60 px; body 16-18 px; labels 10-12 px.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Word documents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Cover 30-42 pt; H1 20-24 pt; H2 14-17 pt; body 10.5-11.5 pt; metadata 8-9 pt.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Presentations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Title 32-44 pt; section 28-36 pt; body 18-24 pt; captions and sources 10-14 pt.</w:t>
            </w:r>
          </w:p>
        </w:tc>
      </w:tr>
    </w:tbl>
    <w:p>
      <w:pPr>
        <w:pStyle w:val="Heading2"/>
      </w:pPr>
      <w:r>
        <w:t>Composition rules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Preserve the case entered by authors. Never force article headlines to uppercase or lowercase in code.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Use uppercase only for short kickers, labels, navigation, and technical metadata.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Never use negative letter spacing. Use generous tracking only in wordmarks and short uppercase labels.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Keep headline line-height tight but non-overlapping: approximately 0.90-1.00 for display serif; 1.15 or more for body text.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Do not scale type with viewport width without explicit minimum and maximum constraints.</w:t>
      </w:r>
    </w:p>
    <w:p>
      <w:r>
        <w:br w:type="page"/>
      </w:r>
    </w:p>
    <w:p>
      <w:pPr>
        <w:keepNext/>
        <w:spacing w:before="0" w:after="120"/>
      </w:pPr>
      <w:r>
        <w:rPr>
          <w:rFonts w:ascii="Consolas" w:hAnsi="Consolas"/>
          <w:b/>
          <w:color w:val="725A26"/>
          <w:sz w:val="17"/>
        </w:rPr>
        <w:t>06 / IMAGERY</w:t>
      </w:r>
    </w:p>
    <w:p>
      <w:pPr>
        <w:keepNext/>
        <w:spacing w:before="0" w:after="180" w:line="226" w:lineRule="auto"/>
        <w:pBdr>
          <w:bottom w:val="single" w:sz="8" w:space="6" w:color="AF9254"/>
        </w:pBdr>
      </w:pPr>
      <w:r>
        <w:rPr>
          <w:rFonts w:ascii="Georgia" w:hAnsi="Georgia"/>
          <w:b w:val="0"/>
          <w:color w:val="151513"/>
          <w:sz w:val="60"/>
        </w:rPr>
        <w:t>Show the work, the terrain, and the people</w:t>
      </w:r>
    </w:p>
    <w:p>
      <w:pPr>
        <w:spacing w:before="0" w:after="240" w:line="293" w:lineRule="auto"/>
      </w:pPr>
      <w:r>
        <w:rPr>
          <w:rFonts w:ascii="Arial" w:hAnsi="Arial"/>
          <w:i w:val="0"/>
          <w:color w:val="151513"/>
          <w:sz w:val="21"/>
        </w:rPr>
        <w:t>Cabeus Explorer imagery should help readers inspect the subject. It should not be generic atmosphere. Prefer evidence-rich photographs and credible renderings that reveal hardware, industrial systems, lunar terrain, events, and decision-makers.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074920" cy="2855488"/>
            <wp:docPr id="5" name="Picture 5" title="Cabeus Explorer lunar industrial hero" descr="Lunar industrial infrastructure used as an example of the Cabeus visual langu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yle-guide-her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5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76" w:lineRule="auto"/>
      </w:pPr>
      <w:r>
        <w:rPr>
          <w:rFonts w:ascii="Arial" w:hAnsi="Arial"/>
          <w:i w:val="0"/>
          <w:color w:val="68645E"/>
          <w:sz w:val="17"/>
        </w:rPr>
        <w:t>Example: lunar infrastructure with visible terrain, scale, and operational context.</w:t>
      </w:r>
    </w:p>
    <w:p>
      <w:pPr>
        <w:pStyle w:val="Heading2"/>
      </w:pPr>
      <w:r>
        <w:t>Selection hierarchy</w:t>
      </w:r>
    </w:p>
    <w:p>
      <w:pPr>
        <w:pStyle w:val="ListNumber"/>
        <w:spacing w:after="80" w:line="281" w:lineRule="auto"/>
      </w:pPr>
      <w:r>
        <w:rPr>
          <w:rFonts w:ascii="Arial" w:hAnsi="Arial"/>
          <w:color w:val="151513"/>
          <w:sz w:val="20"/>
        </w:rPr>
        <w:t>First choice: original reporting photography, event photography, mission imagery, hardware, facilities, maps, charts, or named people.</w:t>
      </w:r>
    </w:p>
    <w:p>
      <w:pPr>
        <w:pStyle w:val="ListNumber"/>
        <w:spacing w:after="80" w:line="281" w:lineRule="auto"/>
      </w:pPr>
      <w:r>
        <w:rPr>
          <w:rFonts w:ascii="Arial" w:hAnsi="Arial"/>
          <w:color w:val="151513"/>
          <w:sz w:val="20"/>
        </w:rPr>
        <w:t>Second choice: licensed or official imagery from the organization, agency, mission, or scholarly source being covered.</w:t>
      </w:r>
    </w:p>
    <w:p>
      <w:pPr>
        <w:pStyle w:val="ListNumber"/>
        <w:spacing w:after="80" w:line="281" w:lineRule="auto"/>
      </w:pPr>
      <w:r>
        <w:rPr>
          <w:rFonts w:ascii="Arial" w:hAnsi="Arial"/>
          <w:color w:val="151513"/>
          <w:sz w:val="20"/>
        </w:rPr>
        <w:t>Third choice: clearly labeled editorial illustration or generated imagery when no authentic visual exists.</w:t>
      </w:r>
    </w:p>
    <w:p>
      <w:pPr>
        <w:pStyle w:val="Heading2"/>
      </w:pPr>
      <w:r>
        <w:t>Treatment</w:t>
      </w:r>
    </w:p>
    <w:tbl>
      <w:tblPr>
        <w:tblW w:type="dxa" w:w="9993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5" w:color="D8D2C8"/>
          <w:left w:val="single" w:sz="5" w:color="D8D2C8"/>
          <w:bottom w:val="single" w:sz="5" w:color="D8D2C8"/>
          <w:right w:val="single" w:sz="5" w:color="D8D2C8"/>
          <w:insideH w:val="single" w:sz="5" w:color="D8D2C8"/>
          <w:insideV w:val="single" w:sz="5" w:color="D8D2C8"/>
        </w:tblBorders>
      </w:tblPr>
      <w:tblGrid>
        <w:gridCol w:w="4996"/>
        <w:gridCol w:w="4997"/>
      </w:tblGrid>
      <w:tr>
        <w:trPr>
          <w:tblHeader w:val="true"/>
        </w:trPr>
        <w:tc>
          <w:tcPr>
            <w:tcW w:type="dxa" w:w="4996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AF9254"/>
                <w:sz w:val="18"/>
              </w:rPr>
              <w:t>DO</w:t>
            </w:r>
          </w:p>
        </w:tc>
        <w:tc>
          <w:tcPr>
            <w:tcW w:type="dxa" w:w="4997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725A26"/>
                <w:sz w:val="18"/>
              </w:rPr>
              <w:t>DO NOT</w:t>
            </w:r>
          </w:p>
        </w:tc>
      </w:tr>
      <w:tr>
        <w:tc>
          <w:tcPr>
            <w:tcW w:type="dxa" w:w="4996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F4F1EA"/>
                <w:sz w:val="18"/>
              </w:rPr>
              <w:t>Keep subjects visible; use consistent 16:9, 16:10, or 4:3 crops.</w:t>
            </w:r>
          </w:p>
        </w:tc>
        <w:tc>
          <w:tcPr>
            <w:tcW w:type="dxa" w:w="4997"/>
            <w:shd w:fill="F4F1EA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Use unrelated screenshots or generic atmosphere as story art.</w:t>
            </w:r>
          </w:p>
        </w:tc>
      </w:tr>
      <w:tr>
        <w:tc>
          <w:tcPr>
            <w:tcW w:type="dxa" w:w="4996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F4F1EA"/>
                <w:sz w:val="18"/>
              </w:rPr>
              <w:t>Use object-position top for portraits and speakers.</w:t>
            </w:r>
          </w:p>
        </w:tc>
        <w:tc>
          <w:tcPr>
            <w:tcW w:type="dxa" w:w="4997"/>
            <w:shd w:fill="F4F1EA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Crop heads, logos, instruments, or key hardware.</w:t>
            </w:r>
          </w:p>
        </w:tc>
      </w:tr>
      <w:tr>
        <w:tc>
          <w:tcPr>
            <w:tcW w:type="dxa" w:w="4996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F4F1EA"/>
                <w:sz w:val="18"/>
              </w:rPr>
              <w:t>Include credit, caption, alt text, and a stable designated thumbnail.</w:t>
            </w:r>
          </w:p>
        </w:tc>
        <w:tc>
          <w:tcPr>
            <w:tcW w:type="dxa" w:w="4997"/>
            <w:shd w:fill="F4F1EA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Blur evidence or present generated imagery as documentary fact.</w:t>
            </w:r>
          </w:p>
        </w:tc>
      </w:tr>
    </w:tbl>
    <w:p>
      <w:pPr>
        <w:keepNext/>
        <w:spacing w:before="0" w:after="120"/>
      </w:pPr>
      <w:r>
        <w:rPr>
          <w:rFonts w:ascii="Consolas" w:hAnsi="Consolas"/>
          <w:b/>
          <w:color w:val="725A26"/>
          <w:sz w:val="17"/>
        </w:rPr>
        <w:t>07 / EDITORIAL VOICE</w:t>
      </w:r>
    </w:p>
    <w:p>
      <w:pPr>
        <w:keepNext/>
        <w:spacing w:before="0" w:after="180" w:line="226" w:lineRule="auto"/>
        <w:pBdr>
          <w:bottom w:val="single" w:sz="8" w:space="6" w:color="AF9254"/>
        </w:pBdr>
      </w:pPr>
      <w:r>
        <w:rPr>
          <w:rFonts w:ascii="Georgia" w:hAnsi="Georgia"/>
          <w:b w:val="0"/>
          <w:color w:val="151513"/>
          <w:sz w:val="60"/>
        </w:rPr>
        <w:t>Authoritative without becoming institutional</w:t>
      </w:r>
    </w:p>
    <w:p>
      <w:pPr>
        <w:spacing w:before="0" w:after="240" w:line="293" w:lineRule="auto"/>
      </w:pPr>
      <w:r>
        <w:rPr>
          <w:rFonts w:ascii="Arial" w:hAnsi="Arial"/>
          <w:i w:val="0"/>
          <w:color w:val="151513"/>
          <w:sz w:val="21"/>
        </w:rPr>
        <w:t>Cabeus Explorer explains what happened, why it matters, what could happen next, and how certain the evidence is. The voice should reward informed readers without requiring them to decode jargon.</w:t>
      </w:r>
    </w:p>
    <w:p>
      <w:pPr>
        <w:pStyle w:val="Heading2"/>
      </w:pPr>
      <w:r>
        <w:t>Voice principles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5" w:color="D8D2C8"/>
          <w:left w:val="single" w:sz="5" w:color="D8D2C8"/>
          <w:bottom w:val="single" w:sz="5" w:color="D8D2C8"/>
          <w:right w:val="single" w:sz="5" w:color="D8D2C8"/>
          <w:insideH w:val="single" w:sz="5" w:color="D8D2C8"/>
          <w:insideV w:val="single" w:sz="5" w:color="D8D2C8"/>
        </w:tblBorders>
      </w:tblPr>
      <w:tblGrid>
        <w:gridCol w:w="3000"/>
        <w:gridCol w:w="6060"/>
      </w:tblGrid>
      <w:tr>
        <w:trPr>
          <w:tblHeader w:val="true"/>
        </w:trP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Lead with consequence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State the market, mission, policy, procurement, or strategic impact early.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Attribute precisely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Name the source, date, method, or speaker. Separate reporting from analysis.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Quantify carefully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Use exact values only when sourced. Label estimates, ranges, and confidence.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Respect uncertainty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Use may, could, projected, or estimated when the evidence requires it.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Write concretely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Prefer spacecraft, contract, launch window, instrument, and supplier over vague terms such as ecosystem or innovation.</w:t>
            </w:r>
          </w:p>
        </w:tc>
      </w:tr>
    </w:tbl>
    <w:p>
      <w:pPr>
        <w:pStyle w:val="Heading2"/>
      </w:pPr>
      <w:r>
        <w:t>Headline and story conventions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Headlines use sentence case or restrained title case. Preserve proper nouns and acronyms.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Kickers identify the desk, topic, or analytical lens; they are not miniature headlines.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Every article carries a visible author, linked biography, publication date, modification date when relevant, and source disclosure.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Teasers should answer the first-order question without giving away the full member analysis.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Sponsored or partner material must be labeled before the headline and in structured metadata.</w:t>
      </w:r>
    </w:p>
    <w:p>
      <w:pPr>
        <w:pStyle w:val="Heading2"/>
      </w:pPr>
      <w:r>
        <w:t>Preferred versus avoid</w:t>
      </w:r>
    </w:p>
    <w:tbl>
      <w:tblPr>
        <w:tblW w:type="dxa" w:w="9993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5" w:color="D8D2C8"/>
          <w:left w:val="single" w:sz="5" w:color="D8D2C8"/>
          <w:bottom w:val="single" w:sz="5" w:color="D8D2C8"/>
          <w:right w:val="single" w:sz="5" w:color="D8D2C8"/>
          <w:insideH w:val="single" w:sz="5" w:color="D8D2C8"/>
          <w:insideV w:val="single" w:sz="5" w:color="D8D2C8"/>
        </w:tblBorders>
      </w:tblPr>
      <w:tblGrid>
        <w:gridCol w:w="4996"/>
        <w:gridCol w:w="4997"/>
      </w:tblGrid>
      <w:tr>
        <w:trPr>
          <w:tblHeader w:val="true"/>
        </w:trPr>
        <w:tc>
          <w:tcPr>
            <w:tcW w:type="dxa" w:w="4996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AF9254"/>
                <w:sz w:val="18"/>
              </w:rPr>
              <w:t>DO</w:t>
            </w:r>
          </w:p>
        </w:tc>
        <w:tc>
          <w:tcPr>
            <w:tcW w:type="dxa" w:w="4997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725A26"/>
                <w:sz w:val="18"/>
              </w:rPr>
              <w:t>DO NOT</w:t>
            </w:r>
          </w:p>
        </w:tc>
      </w:tr>
      <w:tr>
        <w:tc>
          <w:tcPr>
            <w:tcW w:type="dxa" w:w="4996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F4F1EA"/>
                <w:sz w:val="18"/>
              </w:rPr>
              <w:t>“NASA adds four lunar deliveries to the 2028 pipeline.”</w:t>
            </w:r>
          </w:p>
        </w:tc>
        <w:tc>
          <w:tcPr>
            <w:tcW w:type="dxa" w:w="4997"/>
            <w:shd w:fill="F4F1EA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“Game-changing deal transforms space forever.”</w:t>
            </w:r>
          </w:p>
        </w:tc>
      </w:tr>
      <w:tr>
        <w:tc>
          <w:tcPr>
            <w:tcW w:type="dxa" w:w="4996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F4F1EA"/>
                <w:sz w:val="18"/>
              </w:rPr>
              <w:t>“The award expands demand for landers and payload integration.”</w:t>
            </w:r>
          </w:p>
        </w:tc>
        <w:tc>
          <w:tcPr>
            <w:tcW w:type="dxa" w:w="4997"/>
            <w:shd w:fill="F4F1EA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“Sources say” without describing the source basis.</w:t>
            </w:r>
          </w:p>
        </w:tc>
      </w:tr>
      <w:tr>
        <w:tc>
          <w:tcPr>
            <w:tcW w:type="dxa" w:w="4996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F4F1EA"/>
                <w:sz w:val="18"/>
              </w:rPr>
              <w:t>“Potomac analysis estimates...”</w:t>
            </w:r>
          </w:p>
        </w:tc>
        <w:tc>
          <w:tcPr>
            <w:tcW w:type="dxa" w:w="4997"/>
            <w:shd w:fill="F4F1EA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Presenting a forecast as a confirmed outcome.</w:t>
            </w:r>
          </w:p>
        </w:tc>
      </w:tr>
    </w:tbl>
    <w:p>
      <w:r>
        <w:br w:type="page"/>
      </w:r>
    </w:p>
    <w:p>
      <w:pPr>
        <w:keepNext/>
        <w:spacing w:before="0" w:after="120"/>
      </w:pPr>
      <w:r>
        <w:rPr>
          <w:rFonts w:ascii="Consolas" w:hAnsi="Consolas"/>
          <w:b/>
          <w:color w:val="725A26"/>
          <w:sz w:val="17"/>
        </w:rPr>
        <w:t>08 / WEBSITE</w:t>
      </w:r>
    </w:p>
    <w:p>
      <w:pPr>
        <w:keepNext/>
        <w:spacing w:before="0" w:after="180" w:line="226" w:lineRule="auto"/>
        <w:pBdr>
          <w:bottom w:val="single" w:sz="8" w:space="6" w:color="AF9254"/>
        </w:pBdr>
      </w:pPr>
      <w:r>
        <w:rPr>
          <w:rFonts w:ascii="Georgia" w:hAnsi="Georgia"/>
          <w:b w:val="0"/>
          <w:color w:val="151513"/>
          <w:sz w:val="60"/>
        </w:rPr>
        <w:t>Editorial structure with terminal-grade evidence</w:t>
      </w:r>
    </w:p>
    <w:p>
      <w:pPr>
        <w:spacing w:before="0" w:after="240" w:line="293" w:lineRule="auto"/>
      </w:pPr>
      <w:r>
        <w:rPr>
          <w:rFonts w:ascii="Arial" w:hAnsi="Arial"/>
          <w:i w:val="0"/>
          <w:color w:val="151513"/>
          <w:sz w:val="21"/>
        </w:rPr>
        <w:t>The public website uses the light editorial system. It should feel like a serious publication with precise data layers, not a marketing landing page or a decorative dashboard.</w:t>
      </w:r>
    </w:p>
    <w:p>
      <w:pPr>
        <w:pStyle w:val="Heading2"/>
      </w:pPr>
      <w:r>
        <w:t>Page architecture</w:t>
      </w:r>
    </w:p>
    <w:p>
      <w:pPr>
        <w:spacing w:before="0" w:after="120" w:line="293" w:lineRule="auto"/>
      </w:pPr>
      <w:r>
        <w:rPr>
          <w:rFonts w:ascii="Arial" w:hAnsi="Arial"/>
          <w:b/>
          <w:color w:val="151513"/>
          <w:sz w:val="21"/>
        </w:rPr>
        <w:t>Masthead.</w:t>
      </w:r>
      <w:r>
        <w:rPr>
          <w:rFonts w:ascii="Arial" w:hAnsi="Arial"/>
          <w:i w:val="0"/>
          <w:color w:val="151513"/>
          <w:sz w:val="21"/>
        </w:rPr>
        <w:t xml:space="preserve"> Wordmark, restrained navigation, search, and clear sign-in or membership action.</w:t>
      </w:r>
    </w:p>
    <w:p>
      <w:pPr>
        <w:spacing w:before="0" w:after="120" w:line="293" w:lineRule="auto"/>
      </w:pPr>
      <w:r>
        <w:rPr>
          <w:rFonts w:ascii="Arial" w:hAnsi="Arial"/>
          <w:b/>
          <w:color w:val="151513"/>
          <w:sz w:val="21"/>
        </w:rPr>
        <w:t>Signal bands.</w:t>
      </w:r>
      <w:r>
        <w:rPr>
          <w:rFonts w:ascii="Arial" w:hAnsi="Arial"/>
          <w:i w:val="0"/>
          <w:color w:val="151513"/>
          <w:sz w:val="21"/>
        </w:rPr>
        <w:t xml:space="preserve"> Market ticker, Cabeus Mean Time, mission pulse, or other compact operational context.</w:t>
      </w:r>
    </w:p>
    <w:p>
      <w:pPr>
        <w:spacing w:before="0" w:after="120" w:line="293" w:lineRule="auto"/>
      </w:pPr>
      <w:r>
        <w:rPr>
          <w:rFonts w:ascii="Arial" w:hAnsi="Arial"/>
          <w:b/>
          <w:color w:val="151513"/>
          <w:sz w:val="21"/>
        </w:rPr>
        <w:t>Editorial lead.</w:t>
      </w:r>
      <w:r>
        <w:rPr>
          <w:rFonts w:ascii="Arial" w:hAnsi="Arial"/>
          <w:i w:val="0"/>
          <w:color w:val="151513"/>
          <w:sz w:val="21"/>
        </w:rPr>
        <w:t xml:space="preserve"> Headline, teaser, byline, timestamp, and related image with stable proportions.</w:t>
      </w:r>
    </w:p>
    <w:p>
      <w:pPr>
        <w:spacing w:before="0" w:after="120" w:line="293" w:lineRule="auto"/>
      </w:pPr>
      <w:r>
        <w:rPr>
          <w:rFonts w:ascii="Arial" w:hAnsi="Arial"/>
          <w:b/>
          <w:color w:val="151513"/>
          <w:sz w:val="21"/>
        </w:rPr>
        <w:t>Evidence and conversion.</w:t>
      </w:r>
      <w:r>
        <w:rPr>
          <w:rFonts w:ascii="Arial" w:hAnsi="Arial"/>
          <w:i w:val="0"/>
          <w:color w:val="151513"/>
          <w:sz w:val="21"/>
        </w:rPr>
        <w:t xml:space="preserve"> Sources, disclosures, membership gates, event modules, and newsletter prompts.</w:t>
      </w:r>
    </w:p>
    <w:p>
      <w:pPr>
        <w:spacing w:before="0" w:after="120" w:line="293" w:lineRule="auto"/>
      </w:pPr>
      <w:r>
        <w:rPr>
          <w:rFonts w:ascii="Arial" w:hAnsi="Arial"/>
          <w:b/>
          <w:color w:val="151513"/>
          <w:sz w:val="21"/>
        </w:rPr>
        <w:t>Footer.</w:t>
      </w:r>
      <w:r>
        <w:rPr>
          <w:rFonts w:ascii="Arial" w:hAnsi="Arial"/>
          <w:i w:val="0"/>
          <w:color w:val="151513"/>
          <w:sz w:val="21"/>
        </w:rPr>
        <w:t xml:space="preserve"> Publisher identity, author biographies, contact, legal, social, and product links.</w:t>
      </w:r>
    </w:p>
    <w:p>
      <w:pPr>
        <w:pStyle w:val="Heading2"/>
      </w:pPr>
      <w:r>
        <w:t>Layout rules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Use full-width bands with constrained inner content. Do not float every section in a card.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Use 1 px rules, square corners, and no more than 8 px radius when a card is functionally necessary.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Keep the first viewport branded and useful. A hero must leave evidence of the next section.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Keep fixed-format controls dimensionally stable so labels, prices, dates, and hover states do not shift layout.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Use familiar icons for tools; pair unfamiliar icons with tooltips and accessible names.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Use animation only to convey change or continuous information. Always support reduced motion.</w:t>
      </w:r>
    </w:p>
    <w:p>
      <w:pPr>
        <w:pStyle w:val="Heading2"/>
      </w:pPr>
      <w:r>
        <w:t>Primary component specifications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5" w:color="D8D2C8"/>
          <w:left w:val="single" w:sz="5" w:color="D8D2C8"/>
          <w:bottom w:val="single" w:sz="5" w:color="D8D2C8"/>
          <w:right w:val="single" w:sz="5" w:color="D8D2C8"/>
          <w:insideH w:val="single" w:sz="5" w:color="D8D2C8"/>
          <w:insideV w:val="single" w:sz="5" w:color="D8D2C8"/>
        </w:tblBorders>
      </w:tblPr>
      <w:tblGrid>
        <w:gridCol w:w="3000"/>
        <w:gridCol w:w="6060"/>
      </w:tblGrid>
      <w:tr>
        <w:trPr>
          <w:tblHeader w:val="true"/>
        </w:trP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Buttons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Square or subtly rounded; Ink fill for primary, outline for secondary; 44 px minimum touch target.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Cards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Only for repeated items, bounded tools, or modals. Avoid cards inside cards.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Tables and tickers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Monospaced data, tabular numerals, explicit source and delay labels, keyboard and reduced-motion support.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Article media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Contain when inspection matters; crop only when a designated thumbnail treatment requires it.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Forms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Visible labels, plain-language errors, clear required fields, and no placeholder-only instructions.</w:t>
            </w:r>
          </w:p>
        </w:tc>
      </w:tr>
    </w:tbl>
    <w:p>
      <w:r>
        <w:br w:type="page"/>
      </w:r>
    </w:p>
    <w:p>
      <w:pPr>
        <w:keepNext/>
        <w:spacing w:before="0" w:after="120"/>
      </w:pPr>
      <w:r>
        <w:rPr>
          <w:rFonts w:ascii="Consolas" w:hAnsi="Consolas"/>
          <w:b/>
          <w:color w:val="725A26"/>
          <w:sz w:val="17"/>
        </w:rPr>
        <w:t>09 / DIGITAL ACCESSIBILITY</w:t>
      </w:r>
    </w:p>
    <w:p>
      <w:pPr>
        <w:keepNext/>
        <w:spacing w:before="0" w:after="180" w:line="226" w:lineRule="auto"/>
        <w:pBdr>
          <w:bottom w:val="single" w:sz="8" w:space="6" w:color="AF9254"/>
        </w:pBdr>
      </w:pPr>
      <w:r>
        <w:rPr>
          <w:rFonts w:ascii="Georgia" w:hAnsi="Georgia"/>
          <w:b w:val="0"/>
          <w:color w:val="151513"/>
          <w:sz w:val="60"/>
        </w:rPr>
        <w:t>Clarity is a functional requirement</w:t>
      </w:r>
    </w:p>
    <w:p>
      <w:pPr>
        <w:spacing w:before="0" w:after="240" w:line="293" w:lineRule="auto"/>
      </w:pPr>
      <w:r>
        <w:rPr>
          <w:rFonts w:ascii="Arial" w:hAnsi="Arial"/>
          <w:i w:val="0"/>
          <w:color w:val="151513"/>
          <w:sz w:val="21"/>
        </w:rPr>
        <w:t>Accessibility is part of the brand. A page that looks refined but cannot be read, navigated, or understood is not on brand.</w:t>
      </w:r>
    </w:p>
    <w:p>
      <w:pPr>
        <w:pStyle w:val="Heading2"/>
      </w:pPr>
      <w:r>
        <w:t>Approved contrast pairings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5" w:color="D8D2C8"/>
          <w:left w:val="single" w:sz="5" w:color="D8D2C8"/>
          <w:bottom w:val="single" w:sz="5" w:color="D8D2C8"/>
          <w:right w:val="single" w:sz="5" w:color="D8D2C8"/>
          <w:insideH w:val="single" w:sz="5" w:color="D8D2C8"/>
          <w:insideV w:val="single" w:sz="5" w:color="D8D2C8"/>
        </w:tblBorders>
      </w:tblPr>
      <w:tblGrid>
        <w:gridCol w:w="3000"/>
        <w:gridCol w:w="6060"/>
      </w:tblGrid>
      <w:tr>
        <w:trPr>
          <w:tblHeader w:val="true"/>
        </w:trP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Ink on Paper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16.21:1 - approved for all text.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Muted on Paper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5.21:1 - approved for normal text.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Bronze on Paper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5.81:1 - approved for normal text.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Gold on Paper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2.64:1 - not approved for normal text; use for rules, icons, or large non-text signals.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Steel on Graphite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14.10:1 - approved for all text.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Safety Amber on Graphite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7.88:1 - approved for text and actions.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Machine on Graphite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3.38:1 - not approved for normal text; use only for disabled or large secondary elements after review.</w:t>
            </w:r>
          </w:p>
        </w:tc>
      </w:tr>
    </w:tbl>
    <w:p>
      <w:pPr>
        <w:pStyle w:val="Heading2"/>
      </w:pPr>
      <w:r>
        <w:t>Required behaviors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Meet WCAG 2.2 AA for text contrast, focus visibility, keyboard navigation, target size, labels, and error identification.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Provide semantic headings, landmarks, lists, table headers, descriptive links, and meaningful page titles.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Every informative image needs alt text; decorative images use empty alt text.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Captions identify who or what is shown, where and when it occurred, and the image credit.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Charts must not rely on color alone. Include labels, patterns, or direct annotations.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No autoplaying audio. Video requires captions; transcripts are strongly preferred.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Respect reduced motion and avoid content movement that cannot be paused.</w:t>
      </w:r>
    </w:p>
    <w:p>
      <w:pPr>
        <w:spacing w:before="140" w:after="200" w:line="281" w:lineRule="auto"/>
        <w:ind w:left="230" w:right="230"/>
        <w:shd w:fill="E9E5DE"/>
      </w:pPr>
      <w:r>
        <w:rPr>
          <w:rFonts w:ascii="Consolas" w:hAnsi="Consolas"/>
          <w:b/>
          <w:color w:val="725A26"/>
          <w:sz w:val="17"/>
        </w:rPr>
        <w:t xml:space="preserve">PRODUCTION GATE  </w:t>
      </w:r>
      <w:r>
        <w:rPr>
          <w:rFonts w:ascii="Arial" w:hAnsi="Arial"/>
          <w:color w:val="151513"/>
          <w:sz w:val="20"/>
        </w:rPr>
        <w:t>Test responsive layouts at mobile, tablet, and desktop widths. Reject overlap, horizontal overflow, cropped subjects, invisible text, and unstable layout.</w:t>
      </w:r>
    </w:p>
    <w:p>
      <w:r>
        <w:br w:type="page"/>
      </w:r>
    </w:p>
    <w:p>
      <w:pPr>
        <w:keepNext/>
        <w:spacing w:before="0" w:after="120"/>
      </w:pPr>
      <w:r>
        <w:rPr>
          <w:rFonts w:ascii="Consolas" w:hAnsi="Consolas"/>
          <w:b/>
          <w:color w:val="725A26"/>
          <w:sz w:val="17"/>
        </w:rPr>
        <w:t>10 / WORD DOCUMENTS</w:t>
      </w:r>
    </w:p>
    <w:p>
      <w:pPr>
        <w:keepNext/>
        <w:spacing w:before="0" w:after="180" w:line="226" w:lineRule="auto"/>
        <w:pBdr>
          <w:bottom w:val="single" w:sz="8" w:space="6" w:color="AF9254"/>
        </w:pBdr>
      </w:pPr>
      <w:r>
        <w:rPr>
          <w:rFonts w:ascii="Georgia" w:hAnsi="Georgia"/>
          <w:b w:val="0"/>
          <w:color w:val="151513"/>
          <w:sz w:val="60"/>
        </w:rPr>
        <w:t>Editorial polish with executive usability</w:t>
      </w:r>
    </w:p>
    <w:p>
      <w:pPr>
        <w:spacing w:before="0" w:after="240" w:line="293" w:lineRule="auto"/>
      </w:pPr>
      <w:r>
        <w:rPr>
          <w:rFonts w:ascii="Arial" w:hAnsi="Arial"/>
          <w:i w:val="0"/>
          <w:color w:val="151513"/>
          <w:sz w:val="21"/>
        </w:rPr>
        <w:t>Cabeus documents should be easy to scan on screen, print cleanly, and retain hierarchy when exported to PDF. Use Word styles rather than one-off formatting so authors can work efficiently.</w:t>
      </w:r>
    </w:p>
    <w:p>
      <w:pPr>
        <w:pStyle w:val="Heading2"/>
      </w:pPr>
      <w:r>
        <w:t>Default document system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5" w:color="D8D2C8"/>
          <w:left w:val="single" w:sz="5" w:color="D8D2C8"/>
          <w:bottom w:val="single" w:sz="5" w:color="D8D2C8"/>
          <w:right w:val="single" w:sz="5" w:color="D8D2C8"/>
          <w:insideH w:val="single" w:sz="5" w:color="D8D2C8"/>
          <w:insideV w:val="single" w:sz="5" w:color="D8D2C8"/>
        </w:tblBorders>
      </w:tblPr>
      <w:tblGrid>
        <w:gridCol w:w="3000"/>
        <w:gridCol w:w="6060"/>
      </w:tblGrid>
      <w:tr>
        <w:trPr>
          <w:tblHeader w:val="true"/>
        </w:trP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Page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US Letter portrait; 0.75-1.0 in margins; 0.35-0.5 in header/footer distance.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Cover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Primary wordmark, short kicker, serif title, concise subtitle, version/date, and restrained emblem or image.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Body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DM Sans 10.5-11.5 pt, 1.15-1.25 line spacing, 5-8 pt paragraph spacing.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Headings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Cormorant Garamond for major editorial headings; DM Sans or IBM Plex Mono for compact operational headings.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Tables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Fixed widths, visible header row, 1 px equivalent rules, generous cell padding, no fixed row heights.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Header/footer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Quiet brand label, document title or classification, and Page X of Y.</w:t>
            </w:r>
          </w:p>
        </w:tc>
      </w:tr>
    </w:tbl>
    <w:p>
      <w:pPr>
        <w:pStyle w:val="Heading2"/>
      </w:pPr>
      <w:r>
        <w:t>Document archetypes</w:t>
      </w:r>
    </w:p>
    <w:p>
      <w:pPr>
        <w:spacing w:before="0" w:after="120" w:line="293" w:lineRule="auto"/>
      </w:pPr>
      <w:r>
        <w:rPr>
          <w:rFonts w:ascii="Arial" w:hAnsi="Arial"/>
          <w:b/>
          <w:color w:val="151513"/>
          <w:sz w:val="21"/>
        </w:rPr>
        <w:t>Executive brief.</w:t>
      </w:r>
      <w:r>
        <w:rPr>
          <w:rFonts w:ascii="Arial" w:hAnsi="Arial"/>
          <w:i w:val="0"/>
          <w:color w:val="151513"/>
          <w:sz w:val="21"/>
        </w:rPr>
        <w:t xml:space="preserve"> One-page decision frame: issue, strategic impact, evidence, implications, and next action.</w:t>
      </w:r>
    </w:p>
    <w:p>
      <w:pPr>
        <w:spacing w:before="0" w:after="120" w:line="293" w:lineRule="auto"/>
      </w:pPr>
      <w:r>
        <w:rPr>
          <w:rFonts w:ascii="Arial" w:hAnsi="Arial"/>
          <w:b/>
          <w:color w:val="151513"/>
          <w:sz w:val="21"/>
        </w:rPr>
        <w:t>Intelligence report.</w:t>
      </w:r>
      <w:r>
        <w:rPr>
          <w:rFonts w:ascii="Arial" w:hAnsi="Arial"/>
          <w:i w:val="0"/>
          <w:color w:val="151513"/>
          <w:sz w:val="21"/>
        </w:rPr>
        <w:t xml:space="preserve"> Cover, executive summary, methodology, findings, scenarios, sources, and appendix.</w:t>
      </w:r>
    </w:p>
    <w:p>
      <w:pPr>
        <w:spacing w:before="0" w:after="120" w:line="293" w:lineRule="auto"/>
      </w:pPr>
      <w:r>
        <w:rPr>
          <w:rFonts w:ascii="Arial" w:hAnsi="Arial"/>
          <w:b/>
          <w:color w:val="151513"/>
          <w:sz w:val="21"/>
        </w:rPr>
        <w:t>Event brief.</w:t>
      </w:r>
      <w:r>
        <w:rPr>
          <w:rFonts w:ascii="Arial" w:hAnsi="Arial"/>
          <w:i w:val="0"/>
          <w:color w:val="151513"/>
          <w:sz w:val="21"/>
        </w:rPr>
        <w:t xml:space="preserve"> Purpose, speakers, agenda, participants, discussion themes, logistics, and disclosure.</w:t>
      </w:r>
    </w:p>
    <w:p>
      <w:pPr>
        <w:spacing w:before="0" w:after="120" w:line="293" w:lineRule="auto"/>
      </w:pPr>
      <w:r>
        <w:rPr>
          <w:rFonts w:ascii="Arial" w:hAnsi="Arial"/>
          <w:b/>
          <w:color w:val="151513"/>
          <w:sz w:val="21"/>
        </w:rPr>
        <w:t>Press release.</w:t>
      </w:r>
      <w:r>
        <w:rPr>
          <w:rFonts w:ascii="Arial" w:hAnsi="Arial"/>
          <w:i w:val="0"/>
          <w:color w:val="151513"/>
          <w:sz w:val="21"/>
        </w:rPr>
        <w:t xml:space="preserve"> Headline, dateline, lead, supporting facts, quotations, boilerplate, contact, and source links.</w:t>
      </w:r>
    </w:p>
    <w:p>
      <w:pPr>
        <w:spacing w:before="0" w:after="120" w:line="293" w:lineRule="auto"/>
      </w:pPr>
      <w:r>
        <w:rPr>
          <w:rFonts w:ascii="Arial" w:hAnsi="Arial"/>
          <w:b/>
          <w:color w:val="151513"/>
          <w:sz w:val="21"/>
        </w:rPr>
        <w:t>Proposal or mission brief.</w:t>
      </w:r>
      <w:r>
        <w:rPr>
          <w:rFonts w:ascii="Arial" w:hAnsi="Arial"/>
          <w:i w:val="0"/>
          <w:color w:val="151513"/>
          <w:sz w:val="21"/>
        </w:rPr>
        <w:t xml:space="preserve"> Objective, context, approach, assumptions, deliverables, schedule, roles, and sources.</w:t>
      </w:r>
    </w:p>
    <w:p>
      <w:pPr>
        <w:pStyle w:val="Heading2"/>
      </w:pPr>
      <w:r>
        <w:t>Word authoring rules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Use named styles for Title, Subtitle, Heading 1-3, Normal, captions, quotations, bullets, and numbered steps.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Use real bullets and numbering; never type manual symbols or numbers.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Keep headings with the following paragraph and captions with their figures.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Add alt text to images and identify source/credit in captions.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Run spelling, accessibility, link, page-break, and PDF export checks before release.</w:t>
      </w:r>
    </w:p>
    <w:p>
      <w:r>
        <w:br w:type="page"/>
      </w:r>
    </w:p>
    <w:p>
      <w:pPr>
        <w:keepNext/>
        <w:spacing w:before="0" w:after="120"/>
      </w:pPr>
      <w:r>
        <w:rPr>
          <w:rFonts w:ascii="Consolas" w:hAnsi="Consolas"/>
          <w:b/>
          <w:color w:val="725A26"/>
          <w:sz w:val="17"/>
        </w:rPr>
        <w:t>11 / PRESENTATIONS</w:t>
      </w:r>
    </w:p>
    <w:p>
      <w:pPr>
        <w:keepNext/>
        <w:spacing w:before="0" w:after="180" w:line="226" w:lineRule="auto"/>
        <w:pBdr>
          <w:bottom w:val="single" w:sz="8" w:space="6" w:color="AF9254"/>
        </w:pBdr>
      </w:pPr>
      <w:r>
        <w:rPr>
          <w:rFonts w:ascii="Georgia" w:hAnsi="Georgia"/>
          <w:b w:val="0"/>
          <w:color w:val="151513"/>
          <w:sz w:val="60"/>
        </w:rPr>
        <w:t>One decision, one story, one visual system</w:t>
      </w:r>
    </w:p>
    <w:p>
      <w:pPr>
        <w:spacing w:before="0" w:after="240" w:line="293" w:lineRule="auto"/>
      </w:pPr>
      <w:r>
        <w:rPr>
          <w:rFonts w:ascii="Arial" w:hAnsi="Arial"/>
          <w:i w:val="0"/>
          <w:color w:val="151513"/>
          <w:sz w:val="21"/>
        </w:rPr>
        <w:t>Cabeus presentations should support a speaker, not compete with one. Slides are visual evidence and decision aids; detailed analysis belongs in notes, appendices, or a companion document.</w:t>
      </w:r>
    </w:p>
    <w:p>
      <w:pPr>
        <w:pStyle w:val="Heading2"/>
      </w:pPr>
      <w:r>
        <w:t>Format and grid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5" w:color="D8D2C8"/>
          <w:left w:val="single" w:sz="5" w:color="D8D2C8"/>
          <w:bottom w:val="single" w:sz="5" w:color="D8D2C8"/>
          <w:right w:val="single" w:sz="5" w:color="D8D2C8"/>
          <w:insideH w:val="single" w:sz="5" w:color="D8D2C8"/>
          <w:insideV w:val="single" w:sz="5" w:color="D8D2C8"/>
        </w:tblBorders>
      </w:tblPr>
      <w:tblGrid>
        <w:gridCol w:w="3000"/>
        <w:gridCol w:w="6060"/>
      </w:tblGrid>
      <w:tr>
        <w:trPr>
          <w:tblHeader w:val="true"/>
        </w:trP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Canvas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16:9 widescreen. Use 0.5 in minimum safe margins.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Grid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12-column or simple two-column grid; align all text, imagery, charts, and footers.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Title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Cormorant Garamond 32-44 pt; avoid more than three lines.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Body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DM Sans 18-24 pt; no paragraph smaller than 16 pt in the room-facing area.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Labels/sources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IBM Plex Mono 10-14 pt; use for dates, sources, units, and confidentiality.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Density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One core message, one primary visual, and no more than 3-5 supporting points per slide.</w:t>
            </w:r>
          </w:p>
        </w:tc>
      </w:tr>
    </w:tbl>
    <w:p>
      <w:pPr>
        <w:pStyle w:val="Heading2"/>
      </w:pPr>
      <w:r>
        <w:t>Core slide families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5" w:color="D8D2C8"/>
          <w:left w:val="single" w:sz="5" w:color="D8D2C8"/>
          <w:bottom w:val="single" w:sz="5" w:color="D8D2C8"/>
          <w:right w:val="single" w:sz="5" w:color="D8D2C8"/>
          <w:insideH w:val="single" w:sz="5" w:color="D8D2C8"/>
          <w:insideV w:val="single" w:sz="5" w:color="D8D2C8"/>
        </w:tblBorders>
      </w:tblPr>
      <w:tblGrid>
        <w:gridCol w:w="3000"/>
        <w:gridCol w:w="6060"/>
      </w:tblGrid>
      <w:tr>
        <w:trPr>
          <w:tblHeader w:val="true"/>
        </w:trP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Title / divider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Wordmark, short title, descriptive subtitle, date, presenter, and one image or rule.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Evidence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Headline conclusion, chart or image, direct labels, and source line.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Comparison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Two or three clearly labeled options with shared criteria; no miniature prose.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Quote / closing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Attributed quotation or final decision, next action, contact, and approved wordmark.</w:t>
            </w:r>
          </w:p>
        </w:tc>
      </w:tr>
    </w:tbl>
    <w:p>
      <w:pPr>
        <w:pStyle w:val="Heading2"/>
      </w:pPr>
      <w:r>
        <w:t>Presentation behavior</w:t>
      </w:r>
    </w:p>
    <w:tbl>
      <w:tblPr>
        <w:tblW w:type="dxa" w:w="9993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5" w:color="D8D2C8"/>
          <w:left w:val="single" w:sz="5" w:color="D8D2C8"/>
          <w:bottom w:val="single" w:sz="5" w:color="D8D2C8"/>
          <w:right w:val="single" w:sz="5" w:color="D8D2C8"/>
          <w:insideH w:val="single" w:sz="5" w:color="D8D2C8"/>
          <w:insideV w:val="single" w:sz="5" w:color="D8D2C8"/>
        </w:tblBorders>
      </w:tblPr>
      <w:tblGrid>
        <w:gridCol w:w="4996"/>
        <w:gridCol w:w="4997"/>
      </w:tblGrid>
      <w:tr>
        <w:trPr>
          <w:tblHeader w:val="true"/>
        </w:trPr>
        <w:tc>
          <w:tcPr>
            <w:tcW w:type="dxa" w:w="4996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AF9254"/>
                <w:sz w:val="18"/>
              </w:rPr>
              <w:t>DO</w:t>
            </w:r>
          </w:p>
        </w:tc>
        <w:tc>
          <w:tcPr>
            <w:tcW w:type="dxa" w:w="4997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onsolas" w:hAnsi="Consolas"/>
                <w:b/>
                <w:color w:val="725A26"/>
                <w:sz w:val="18"/>
              </w:rPr>
              <w:t>DO NOT</w:t>
            </w:r>
          </w:p>
        </w:tc>
      </w:tr>
      <w:tr>
        <w:tc>
          <w:tcPr>
            <w:tcW w:type="dxa" w:w="4996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F4F1EA"/>
                <w:sz w:val="18"/>
              </w:rPr>
              <w:t>Write conclusion titles; label charts directly and cite sources.</w:t>
            </w:r>
          </w:p>
        </w:tc>
        <w:tc>
          <w:tcPr>
            <w:tcW w:type="dxa" w:w="4997"/>
            <w:shd w:fill="F4F1EA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Put paragraphs on slides or shrink type to fit excess content.</w:t>
            </w:r>
          </w:p>
        </w:tc>
      </w:tr>
      <w:tr>
        <w:tc>
          <w:tcPr>
            <w:tcW w:type="dxa" w:w="4996"/>
            <w:shd w:fill="151513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F4F1EA"/>
                <w:sz w:val="18"/>
              </w:rPr>
              <w:t>Use specific imagery and subtle, functional animation.</w:t>
            </w:r>
          </w:p>
        </w:tc>
        <w:tc>
          <w:tcPr>
            <w:tcW w:type="dxa" w:w="4997"/>
            <w:shd w:fill="F4F1EA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Use 3D charts, decorative effects, or object-by-object animation.</w:t>
            </w:r>
          </w:p>
        </w:tc>
      </w:tr>
    </w:tbl>
    <w:p>
      <w:pPr>
        <w:keepNext/>
        <w:spacing w:before="0" w:after="120"/>
      </w:pPr>
      <w:r>
        <w:rPr>
          <w:rFonts w:ascii="Consolas" w:hAnsi="Consolas"/>
          <w:b/>
          <w:color w:val="725A26"/>
          <w:sz w:val="17"/>
        </w:rPr>
        <w:t>12 / PRESENTATION EXAMPLES</w:t>
      </w:r>
    </w:p>
    <w:p>
      <w:pPr>
        <w:keepNext/>
        <w:spacing w:before="0" w:after="180" w:line="226" w:lineRule="auto"/>
        <w:pBdr>
          <w:bottom w:val="single" w:sz="8" w:space="6" w:color="AF9254"/>
        </w:pBdr>
      </w:pPr>
      <w:r>
        <w:rPr>
          <w:rFonts w:ascii="Georgia" w:hAnsi="Georgia"/>
          <w:b w:val="0"/>
          <w:color w:val="151513"/>
          <w:sz w:val="60"/>
        </w:rPr>
        <w:t>Use the brand modes deliberately</w:t>
      </w:r>
    </w:p>
    <w:p>
      <w:pPr>
        <w:spacing w:before="0" w:after="240" w:line="293" w:lineRule="auto"/>
      </w:pPr>
      <w:r>
        <w:rPr>
          <w:rFonts w:ascii="Arial" w:hAnsi="Arial"/>
          <w:i w:val="0"/>
          <w:color w:val="151513"/>
          <w:sz w:val="21"/>
        </w:rPr>
        <w:t>Public keynotes and editorial decks normally use the light mode. Terminal demonstrations and technical operations reviews may use dark mode when the content benefits from higher data density.</w:t>
      </w:r>
    </w:p>
    <w:p>
      <w:pPr>
        <w:pStyle w:val="Heading2"/>
      </w:pPr>
      <w:r>
        <w:t>Light title slide</w:t>
      </w:r>
    </w:p>
    <w:tbl>
      <w:tblPr>
        <w:tblW w:type="dxa" w:w="9993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7" w:color="AF9254"/>
          <w:left w:val="single" w:sz="7" w:color="AF9254"/>
          <w:bottom w:val="single" w:sz="7" w:color="AF9254"/>
          <w:right w:val="single" w:sz="7" w:color="AF9254"/>
        </w:tblBorders>
      </w:tblPr>
      <w:tblGrid>
        <w:gridCol w:w="9993"/>
      </w:tblGrid>
      <w:tr>
        <w:trPr>
          <w:tblHeader w:val="true"/>
        </w:trPr>
        <w:tc>
          <w:tcPr>
            <w:tcW w:type="dxa" w:w="9993"/>
            <w:shd w:fill="F4F1EA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r>
              <w:rPr>
                <w:rFonts w:ascii="Consolas" w:hAnsi="Consolas"/>
                <w:b/>
                <w:color w:val="725A26"/>
                <w:sz w:val="17"/>
              </w:rPr>
              <w:t>INDEPENDENT INTELLIGENCE</w:t>
            </w:r>
          </w:p>
          <w:p>
            <w:pPr>
              <w:spacing w:before="200" w:after="160"/>
            </w:pPr>
            <w:r>
              <w:rPr>
                <w:rFonts w:ascii="Georgia" w:hAnsi="Georgia"/>
                <w:color w:val="151513"/>
                <w:sz w:val="52"/>
              </w:rPr>
              <w:t>Building the lunar industrial base</w:t>
            </w:r>
          </w:p>
          <w:p>
            <w:r>
              <w:rPr>
                <w:rFonts w:ascii="Arial" w:hAnsi="Arial"/>
                <w:color w:val="68645E"/>
                <w:sz w:val="22"/>
              </w:rPr>
              <w:t>Market signals, mission infrastructure, and strategic implications</w:t>
            </w:r>
          </w:p>
          <w:p>
            <w:pPr>
              <w:spacing w:before="400"/>
            </w:pPr>
            <w:r>
              <w:rPr>
                <w:rFonts w:ascii="Consolas" w:hAnsi="Consolas"/>
                <w:b/>
                <w:color w:val="725A26"/>
                <w:sz w:val="17"/>
              </w:rPr>
              <w:t>CABEUS EXPLORER  /  JULY 2026</w:t>
            </w:r>
          </w:p>
        </w:tc>
      </w:tr>
    </w:tbl>
    <w:p>
      <w:pPr>
        <w:pStyle w:val="Heading2"/>
      </w:pPr>
      <w:r>
        <w:t>Dark evidence slide</w:t>
      </w:r>
    </w:p>
    <w:tbl>
      <w:tblPr>
        <w:tblW w:type="dxa" w:w="9993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7" w:color="F3A712"/>
          <w:left w:val="single" w:sz="7" w:color="F3A712"/>
          <w:bottom w:val="single" w:sz="7" w:color="F3A712"/>
          <w:right w:val="single" w:sz="7" w:color="F3A712"/>
        </w:tblBorders>
      </w:tblPr>
      <w:tblGrid>
        <w:gridCol w:w="9993"/>
      </w:tblGrid>
      <w:tr>
        <w:trPr>
          <w:tblHeader w:val="true"/>
        </w:trPr>
        <w:tc>
          <w:tcPr>
            <w:tcW w:type="dxa" w:w="9993"/>
            <w:shd w:fill="1E2227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r>
              <w:rPr>
                <w:rFonts w:ascii="Consolas" w:hAnsi="Consolas"/>
                <w:b/>
                <w:color w:val="F3A712"/>
                <w:sz w:val="17"/>
              </w:rPr>
              <w:t>MARKET SIGNAL  /  02</w:t>
            </w:r>
          </w:p>
          <w:p>
            <w:pPr>
              <w:spacing w:before="200" w:after="160"/>
            </w:pPr>
            <w:r>
              <w:rPr>
                <w:rFonts w:ascii="Georgia" w:hAnsi="Georgia"/>
                <w:color w:val="EEF1F3"/>
                <w:sz w:val="48"/>
              </w:rPr>
              <w:t>Launch capacity is becoming a procurement constraint</w:t>
            </w:r>
          </w:p>
          <w:p>
            <w:r>
              <w:rPr>
                <w:rFonts w:ascii="Arial" w:hAnsi="Arial"/>
                <w:color w:val="B9A98B"/>
                <w:sz w:val="21"/>
              </w:rPr>
              <w:t>Use a chart, mission image, or direct comparison here - not decorative space art.</w:t>
            </w:r>
          </w:p>
          <w:p>
            <w:pPr>
              <w:spacing w:before="360"/>
            </w:pPr>
            <w:r>
              <w:rPr>
                <w:rFonts w:ascii="Consolas" w:hAnsi="Consolas"/>
                <w:b/>
                <w:color w:val="F3A712"/>
                <w:sz w:val="16"/>
              </w:rPr>
              <w:t>SOURCE: PROGRAM RECORDS + CABEUS ANALYSIS</w:t>
            </w:r>
          </w:p>
        </w:tc>
      </w:tr>
    </w:tbl>
    <w:p>
      <w:pPr>
        <w:spacing w:before="140" w:after="200" w:line="281" w:lineRule="auto"/>
        <w:ind w:left="230" w:right="230"/>
        <w:shd w:fill="E9E5DE"/>
      </w:pPr>
      <w:r>
        <w:rPr>
          <w:rFonts w:ascii="Consolas" w:hAnsi="Consolas"/>
          <w:b/>
          <w:color w:val="725A26"/>
          <w:sz w:val="17"/>
        </w:rPr>
        <w:t xml:space="preserve">RULE  </w:t>
      </w:r>
      <w:r>
        <w:rPr>
          <w:rFonts w:ascii="Arial" w:hAnsi="Arial"/>
          <w:color w:val="151513"/>
          <w:sz w:val="20"/>
        </w:rPr>
        <w:t>A dark slide is not automatically more technical. Use it only when the content, viewing environment, or operational context benefits from the mode.</w:t>
      </w:r>
    </w:p>
    <w:p>
      <w:r>
        <w:br w:type="page"/>
      </w:r>
    </w:p>
    <w:p>
      <w:pPr>
        <w:keepNext/>
        <w:spacing w:before="0" w:after="120"/>
      </w:pPr>
      <w:r>
        <w:rPr>
          <w:rFonts w:ascii="Consolas" w:hAnsi="Consolas"/>
          <w:b/>
          <w:color w:val="725A26"/>
          <w:sz w:val="17"/>
        </w:rPr>
        <w:t>13 / CHARTS, TABLES, AND DATA</w:t>
      </w:r>
    </w:p>
    <w:p>
      <w:pPr>
        <w:keepNext/>
        <w:spacing w:before="0" w:after="180" w:line="226" w:lineRule="auto"/>
        <w:pBdr>
          <w:bottom w:val="single" w:sz="8" w:space="6" w:color="AF9254"/>
        </w:pBdr>
      </w:pPr>
      <w:r>
        <w:rPr>
          <w:rFonts w:ascii="Georgia" w:hAnsi="Georgia"/>
          <w:b w:val="0"/>
          <w:color w:val="151513"/>
          <w:sz w:val="60"/>
        </w:rPr>
        <w:t>Evidence should be readable before it is impressive</w:t>
      </w:r>
    </w:p>
    <w:p>
      <w:pPr>
        <w:spacing w:before="0" w:after="240" w:line="293" w:lineRule="auto"/>
      </w:pPr>
      <w:r>
        <w:rPr>
          <w:rFonts w:ascii="Arial" w:hAnsi="Arial"/>
          <w:i w:val="0"/>
          <w:color w:val="151513"/>
          <w:sz w:val="21"/>
        </w:rPr>
        <w:t>Cabeus data displays must reveal the source, unit, date, delay, uncertainty, and entitlement level when relevant. Decoration must never obscure comparison.</w:t>
      </w:r>
    </w:p>
    <w:p>
      <w:pPr>
        <w:pStyle w:val="Heading2"/>
      </w:pPr>
      <w:r>
        <w:t>Chart rules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State the conclusion in the chart title; use the subtitle for scope, unit, geography, and period.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Prefer direct labels over legends when space allows.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Use Ink or Steel as the baseline series; use Gold or Safety Amber for the one series that needs attention.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Reserve Oxide for verified risk, decline, disruption, or exception states.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Use zero baselines for bars. Explain non-zero baselines for lines and indexes.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Show source and as-of date directly below the visual; label analyst estimates and confidence.</w:t>
      </w:r>
    </w:p>
    <w:p>
      <w:pPr>
        <w:pStyle w:val="Heading2"/>
      </w:pPr>
      <w:r>
        <w:t>Table rules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5" w:color="D8D2C8"/>
          <w:left w:val="single" w:sz="5" w:color="D8D2C8"/>
          <w:bottom w:val="single" w:sz="5" w:color="D8D2C8"/>
          <w:right w:val="single" w:sz="5" w:color="D8D2C8"/>
          <w:insideH w:val="single" w:sz="5" w:color="D8D2C8"/>
          <w:insideV w:val="single" w:sz="5" w:color="D8D2C8"/>
        </w:tblBorders>
      </w:tblPr>
      <w:tblGrid>
        <w:gridCol w:w="3000"/>
        <w:gridCol w:w="6060"/>
      </w:tblGrid>
      <w:tr>
        <w:trPr>
          <w:tblHeader w:val="true"/>
        </w:trP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Header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Ink fill with Paper text in high-signal tables; Smoke fill with Ink text for long reading tables.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Body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Paper background, 0.5 pt rules, 8-12 pt cell padding, vertically centered values.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Numbers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Right-align comparable values; use tabular numerals; keep units in headers.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Status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Use words plus color. Never communicate status by color alone.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Sources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Attach a source or methodology note immediately below the table.</w:t>
            </w:r>
          </w:p>
        </w:tc>
      </w:tr>
    </w:tbl>
    <w:p>
      <w:pPr>
        <w:pStyle w:val="Heading2"/>
      </w:pPr>
      <w:r>
        <w:t>Data language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Use em dash only when a value is genuinely unavailable; use 0 only when zero is observed.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Distinguish delayed, end-of-day, estimated, modeled, reported, and verified values.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Use consistent significant figures and currency units within one comparison.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Never imply that a proxy commodity price equals an on-Moon extraction or delivery price.</w:t>
      </w:r>
    </w:p>
    <w:p>
      <w:r>
        <w:br w:type="page"/>
      </w:r>
    </w:p>
    <w:p>
      <w:pPr>
        <w:keepNext/>
        <w:spacing w:before="0" w:after="120"/>
      </w:pPr>
      <w:r>
        <w:rPr>
          <w:rFonts w:ascii="Consolas" w:hAnsi="Consolas"/>
          <w:b/>
          <w:color w:val="725A26"/>
          <w:sz w:val="17"/>
        </w:rPr>
        <w:t>14 / GOVERNANCE</w:t>
      </w:r>
    </w:p>
    <w:p>
      <w:pPr>
        <w:keepNext/>
        <w:spacing w:before="0" w:after="180" w:line="226" w:lineRule="auto"/>
        <w:pBdr>
          <w:bottom w:val="single" w:sz="8" w:space="6" w:color="AF9254"/>
        </w:pBdr>
      </w:pPr>
      <w:r>
        <w:rPr>
          <w:rFonts w:ascii="Georgia" w:hAnsi="Georgia"/>
          <w:b w:val="0"/>
          <w:color w:val="151513"/>
          <w:sz w:val="60"/>
        </w:rPr>
        <w:t>Make consistency easy to maintain</w:t>
      </w:r>
    </w:p>
    <w:p>
      <w:pPr>
        <w:spacing w:before="0" w:after="240" w:line="293" w:lineRule="auto"/>
      </w:pPr>
      <w:r>
        <w:rPr>
          <w:rFonts w:ascii="Arial" w:hAnsi="Arial"/>
          <w:i w:val="0"/>
          <w:color w:val="151513"/>
          <w:sz w:val="21"/>
        </w:rPr>
        <w:t>The style guide is a production standard, not a static artifact. Brand owners should keep the approved assets, design tokens, templates, and examples in version control and review them alongside the product.</w:t>
      </w:r>
    </w:p>
    <w:p>
      <w:pPr>
        <w:pStyle w:val="Heading2"/>
      </w:pPr>
      <w:r>
        <w:t>Ownership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5" w:color="D8D2C8"/>
          <w:left w:val="single" w:sz="5" w:color="D8D2C8"/>
          <w:bottom w:val="single" w:sz="5" w:color="D8D2C8"/>
          <w:right w:val="single" w:sz="5" w:color="D8D2C8"/>
          <w:insideH w:val="single" w:sz="5" w:color="D8D2C8"/>
          <w:insideV w:val="single" w:sz="5" w:color="D8D2C8"/>
        </w:tblBorders>
      </w:tblPr>
      <w:tblGrid>
        <w:gridCol w:w="3000"/>
        <w:gridCol w:w="6060"/>
      </w:tblGrid>
      <w:tr>
        <w:trPr>
          <w:tblHeader w:val="true"/>
        </w:trP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Brand owner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Approves identity, naming, visual standards, and major external campaigns.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Editorial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Owns voice, headlines, bylines, corrections, disclosures, citations, and article imagery.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Product/design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Owns digital tokens, components, accessibility, responsive behavior, and design-system implementation.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Events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Applies the master brand to convenings while preserving event-specific messaging.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All contributors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Use approved templates and complete the release checklist.</w:t>
            </w:r>
          </w:p>
        </w:tc>
      </w:tr>
    </w:tbl>
    <w:p>
      <w:pPr>
        <w:pStyle w:val="Heading2"/>
      </w:pPr>
      <w:r>
        <w:t>Release checklist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Correct brand, product, event, and membership names.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Approved wordmark or emblem, with clear space and no distortion.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One intentional color mode and only approved palette values.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Correct type hierarchy with no clipping, overlap, or automatic case changes.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Subject-specific imagery, accurate crop, caption, credit, and alt text.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Visible author, date, source, methodology, and sponsorship disclosure where applicable.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Accessible contrast, keyboard/focus behavior, captions, and reduced-motion support.</w:t>
      </w:r>
    </w:p>
    <w:p>
      <w:pPr>
        <w:pStyle w:val="ListBullet"/>
        <w:spacing w:after="80" w:line="281" w:lineRule="auto"/>
      </w:pPr>
      <w:r>
        <w:rPr>
          <w:rFonts w:ascii="Arial" w:hAnsi="Arial"/>
          <w:color w:val="151513"/>
          <w:sz w:val="20"/>
        </w:rPr>
        <w:t>Spelling, link, data, responsive, print/PDF, and presentation-room checks completed.</w:t>
      </w:r>
    </w:p>
    <w:p>
      <w:pPr>
        <w:pStyle w:val="Heading2"/>
      </w:pPr>
      <w:r>
        <w:t>Canonical digital assets</w:t>
      </w:r>
    </w:p>
    <w:tbl>
      <w:tblPr>
        <w:tblW w:type="dxa" w:w="90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5" w:color="D8D2C8"/>
          <w:left w:val="single" w:sz="5" w:color="D8D2C8"/>
          <w:bottom w:val="single" w:sz="5" w:color="D8D2C8"/>
          <w:right w:val="single" w:sz="5" w:color="D8D2C8"/>
          <w:insideH w:val="single" w:sz="5" w:color="D8D2C8"/>
          <w:insideV w:val="single" w:sz="5" w:color="D8D2C8"/>
        </w:tblBorders>
      </w:tblPr>
      <w:tblGrid>
        <w:gridCol w:w="3000"/>
        <w:gridCol w:w="6060"/>
      </w:tblGrid>
      <w:tr>
        <w:trPr>
          <w:tblHeader w:val="true"/>
        </w:trP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Wordmark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public/cabeus-explorer-wordmark.png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Emblem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public/cabeus-explorer-logo.png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Favicons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public/cabeus-wordmark-favicon.ico and wordmark icon PNGs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Design tokens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tailwind.config.js and app/globals.css</w:t>
            </w:r>
          </w:p>
        </w:tc>
      </w:tr>
      <w:tr>
        <w:tc>
          <w:tcPr>
            <w:tcW w:type="dxa" w:w="3000"/>
            <w:shd w:fill="E9E5DE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b/>
                <w:color w:val="151513"/>
                <w:sz w:val="18"/>
              </w:rPr>
              <w:t>Brand data</w:t>
            </w:r>
          </w:p>
        </w:tc>
        <w:tc>
          <w:tcPr>
            <w:tcW w:type="dxa" w:w="6060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/>
                <w:color w:val="151513"/>
                <w:sz w:val="18"/>
              </w:rPr>
              <w:t>app/_data/brand.ts</w:t>
            </w:r>
          </w:p>
        </w:tc>
      </w:tr>
    </w:tbl>
    <w:p>
      <w:pPr>
        <w:spacing w:after="0" w:line="276" w:lineRule="auto"/>
      </w:pPr>
      <w:r>
        <w:rPr>
          <w:rFonts w:ascii="Arial" w:hAnsi="Arial"/>
          <w:i w:val="0"/>
          <w:color w:val="725A26"/>
          <w:sz w:val="17"/>
        </w:rPr>
        <w:t>CHANGE CONTROL  /  Update code tokens, templates, and this guide in the same release.</w:t>
      </w:r>
    </w:p>
    <w:p>
      <w:r>
        <w:br w:type="page"/>
      </w:r>
    </w:p>
    <w:p>
      <w:pPr>
        <w:keepNext/>
        <w:spacing w:before="0" w:after="320"/>
      </w:pPr>
      <w:r>
        <w:rPr>
          <w:rFonts w:ascii="Consolas" w:hAnsi="Consolas"/>
          <w:b/>
          <w:color w:val="725A26"/>
          <w:sz w:val="17"/>
        </w:rPr>
        <w:t>CABEUS EXPLORER / STYLE GUIDE</w:t>
      </w:r>
    </w:p>
    <w:p>
      <w:pPr>
        <w:keepNext/>
        <w:spacing w:before="0" w:after="320" w:line="226" w:lineRule="auto"/>
      </w:pPr>
      <w:r>
        <w:rPr>
          <w:rFonts w:ascii="Georgia" w:hAnsi="Georgia"/>
          <w:b w:val="0"/>
          <w:color w:val="151513"/>
          <w:sz w:val="76"/>
        </w:rPr>
        <w:t>Clarity in the new space age.</w:t>
      </w:r>
    </w:p>
    <w:p>
      <w:pPr>
        <w:spacing w:before="0" w:after="560" w:line="293" w:lineRule="auto"/>
        <w:pBdr>
          <w:bottom w:val="single" w:sz="10" w:space="9" w:color="AF9254"/>
        </w:pBdr>
      </w:pPr>
      <w:r>
        <w:rPr>
          <w:rFonts w:ascii="Arial" w:hAnsi="Arial"/>
          <w:i w:val="0"/>
          <w:color w:val="151513"/>
          <w:sz w:val="21"/>
        </w:rPr>
        <w:t>Use the brand to make difficult information easier to trust, understand, and act on.</w:t>
      </w:r>
    </w:p>
    <w:p>
      <w:pPr>
        <w:spacing w:before="960" w:after="320"/>
        <w:jc w:val="center"/>
      </w:pPr>
      <w:r>
        <w:drawing>
          <wp:inline xmlns:a="http://schemas.openxmlformats.org/drawingml/2006/main" xmlns:pic="http://schemas.openxmlformats.org/drawingml/2006/picture">
            <wp:extent cx="2651760" cy="1260923"/>
            <wp:docPr id="6" name="Picture 6" title="Cabeus Explorer wordmark" descr="Approved Cabeus Explorer wordmark on the closing p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eus-explorer-word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260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76" w:lineRule="auto"/>
      </w:pPr>
      <w:r>
        <w:rPr>
          <w:rFonts w:ascii="Arial" w:hAnsi="Arial"/>
          <w:i w:val="0"/>
          <w:color w:val="68645E"/>
          <w:sz w:val="17"/>
        </w:rPr>
        <w:t>Version 1.0  |  July 2026  |  Cabeus Explorer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123" w:left="1123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color w:val="68645E"/>
        <w:sz w:val="15"/>
      </w:rPr>
      <w:t xml:space="preserve">STYLE GUIDE  /  JULY 2026   /   </w:t>
    </w:r>
    <w:r>
      <w:rPr>
        <w:rFonts w:ascii="Consolas" w:hAnsi="Consolas"/>
        <w:color w:val="68645E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onsolas" w:hAnsi="Consolas"/>
        <w:color w:val="68645E"/>
        <w:sz w:val="15"/>
      </w:rPr>
      <w:t xml:space="preserve"> OF </w:t>
    </w:r>
    <w:r>
      <w:rPr>
        <w:rFonts w:ascii="Consolas" w:hAnsi="Consolas"/>
        <w:color w:val="68645E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onsolas" w:hAnsi="Consolas"/>
        <w:b/>
        <w:color w:val="68645E"/>
        <w:sz w:val="15"/>
      </w:rPr>
      <w:t>CABEUS EXPLORER</w:t>
    </w:r>
    <w:r>
      <w:rPr>
        <w:rFonts w:ascii="Consolas" w:hAnsi="Consolas"/>
        <w:color w:val="725A26"/>
        <w:sz w:val="15"/>
      </w:rPr>
      <w:t xml:space="preserve">   /   BRAND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Arial" w:hAnsi="Arial"/>
      <w:color w:val="1515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 w:line="252" w:lineRule="auto"/>
      <w:outlineLvl w:val="0"/>
    </w:pPr>
    <w:rPr>
      <w:rFonts w:asciiTheme="majorHAnsi" w:eastAsiaTheme="majorEastAsia" w:hAnsiTheme="majorHAnsi" w:cstheme="majorBidi" w:ascii="Georgia" w:hAnsi="Georgia"/>
      <w:b w:val="0"/>
      <w:bCs/>
      <w:color w:val="151513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725A26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52" w:lineRule="auto"/>
      <w:outlineLvl w:val="2"/>
    </w:pPr>
    <w:rPr>
      <w:rFonts w:asciiTheme="majorHAnsi" w:eastAsiaTheme="majorEastAsia" w:hAnsiTheme="majorHAnsi" w:cstheme="majorBidi" w:ascii="Consolas" w:hAnsi="Consolas"/>
      <w:b/>
      <w:bCs/>
      <w:color w:val="15151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52" w:lineRule="auto" w:before="0"/>
      <w:contextualSpacing/>
    </w:pPr>
    <w:rPr>
      <w:rFonts w:asciiTheme="majorHAnsi" w:eastAsiaTheme="majorEastAsia" w:hAnsiTheme="majorHAnsi" w:cstheme="majorBidi" w:ascii="Georgia" w:hAnsi="Georgia"/>
      <w:color w:val="15151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252" w:lineRule="auto"/>
    </w:pPr>
    <w:rPr>
      <w:rFonts w:asciiTheme="majorHAnsi" w:eastAsiaTheme="majorEastAsia" w:hAnsiTheme="majorHAnsi" w:cstheme="majorBidi" w:ascii="Arial" w:hAnsi="Arial"/>
      <w:b/>
      <w:i/>
      <w:iCs/>
      <w:color w:val="68645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1" w:lineRule="auto"/>
      <w:contextualSpacing/>
    </w:pPr>
    <w:rPr>
      <w:rFonts w:ascii="Arial" w:hAnsi="Arial"/>
      <w:color w:val="15151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1" w:lineRule="auto"/>
      <w:contextualSpacing/>
    </w:pPr>
    <w:rPr>
      <w:rFonts w:ascii="Arial" w:hAnsi="Arial"/>
      <w:color w:val="151513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1" w:lineRule="auto"/>
      <w:contextualSpacing/>
    </w:pPr>
    <w:rPr>
      <w:rFonts w:ascii="Arial" w:hAnsi="Arial"/>
      <w:color w:val="15151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Cabeus Explorer Style Guide</dc:title>
  <dc:subject>Brand standards for website, documents, and presentations</dc:subject>
  <dc:creator>Cabeus Explorer</dc:creator>
  <cp:keywords>Cabeus Explorer, brand, style guide, website, documents, presentations</cp:keywords>
  <dc:description>Version 1.0 - July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