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Technical Specification</w:t>
      </w:r>
    </w:p>
    <w:p>
      <w:r>
        <w:t>This technical document specifies architecture standards.</w:t>
      </w:r>
    </w:p>
    <w:p>
      <w:pPr>
        <w:pStyle w:val="Heading2"/>
      </w:pPr>
      <w:r>
        <w:t>Section 1: Microservices</w:t>
      </w:r>
    </w:p>
    <w:p>
      <w:r>
        <w:t>All services communicate over mutual TLS and authenticated loopback.</w:t>
      </w:r>
    </w:p>
    <w:p>
      <w:pPr>
        <w:pStyle w:val="ListBullet"/>
      </w:pPr>
      <w:r>
        <w:t>High availability</w:t>
      </w:r>
    </w:p>
    <w:p>
      <w:pPr>
        <w:pStyle w:val="ListBullet"/>
      </w:pPr>
      <w:r>
        <w:t>Fault tolerance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Engine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