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Erebus Thirty Day Execution Playbook</w:t>
      </w:r>
    </w:p>
    <w:p>
      <w:r>
        <w:t>This playbook turns launch attention into outside use and commercial evidence. It includes a dated calendar, sixteen post drafts, video scripts, an article draft, an experiment article structure, a pilot offer, and measurement templates. Read it alongside the Product and Growth Strategy for the full research and business reasoning.</w:t>
      </w:r>
    </w:p>
    <w:p>
      <w:r>
        <w:t>The proposed execution window is 13 September to 12 October 2026. Move the dates if work starts later; preserve the sequence. Today, 12 September, capture launch counters, review open questions, and prepare P01. Nothing in this plan has been posted, scheduled, or sent.</w:t>
      </w:r>
    </w:p>
    <w:p>
      <w:pPr>
        <w:pStyle w:val="Heading2"/>
      </w:pPr>
      <w:r>
        <w:t>Operating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424"/>
      </w:tblGrid>
      <w:tr>
        <w:trPr>
          <w:cantSplit/>
          <w:tblHeader/>
        </w:trPr>
        <w:tc>
          <w:tcPr>
            <w:tcW w:type="dxa" w:w="1656"/>
            <w:vAlign w:val="center"/>
            <w:shd w:fill="333333"/>
            <w:tcMar>
              <w:top w:w="75" w:type="dxa"/>
              <w:bottom w:w="75" w:type="dxa"/>
              <w:left w:w="90" w:type="dxa"/>
              <w:right w:w="90" w:type="dxa"/>
            </w:tcMar>
          </w:tcPr>
          <w:p>
            <w:pPr>
              <w:spacing w:after="0" w:line="245" w:lineRule="auto"/>
            </w:pPr>
            <w:r>
              <w:rPr>
                <w:b/>
                <w:color w:val="FFFFFF"/>
                <w:sz w:val="20"/>
              </w:rPr>
              <w:t>Choice</w:t>
            </w:r>
          </w:p>
        </w:tc>
        <w:tc>
          <w:tcPr>
            <w:tcW w:type="dxa" w:w="8424"/>
            <w:vAlign w:val="center"/>
            <w:shd w:fill="333333"/>
            <w:tcMar>
              <w:top w:w="75" w:type="dxa"/>
              <w:bottom w:w="75" w:type="dxa"/>
              <w:left w:w="90" w:type="dxa"/>
              <w:right w:w="90" w:type="dxa"/>
            </w:tcMar>
          </w:tcPr>
          <w:p>
            <w:pPr>
              <w:spacing w:after="0" w:line="245" w:lineRule="auto"/>
            </w:pPr>
            <w:r>
              <w:rPr>
                <w:b/>
                <w:color w:val="FFFFFF"/>
                <w:sz w:val="20"/>
              </w:rPr>
              <w:t>Working default</w:t>
            </w:r>
          </w:p>
        </w:tc>
      </w:tr>
      <w:tr>
        <w:trPr>
          <w:cantSplit/>
        </w:trPr>
        <w:tc>
          <w:tcPr>
            <w:tcW w:type="dxa" w:w="1656"/>
            <w:vAlign w:val="center"/>
            <w:shd w:fill="FFFFFF"/>
            <w:tcMar>
              <w:top w:w="75" w:type="dxa"/>
              <w:bottom w:w="75" w:type="dxa"/>
              <w:left w:w="90" w:type="dxa"/>
              <w:right w:w="90" w:type="dxa"/>
            </w:tcMar>
          </w:tcPr>
          <w:p>
            <w:pPr>
              <w:spacing w:after="0" w:line="245" w:lineRule="auto"/>
            </w:pPr>
            <w:r>
              <w:rPr>
                <w:sz w:val="20"/>
              </w:rPr>
              <w:t>Cadence</w:t>
            </w:r>
          </w:p>
        </w:tc>
        <w:tc>
          <w:tcPr>
            <w:tcW w:type="dxa" w:w="8424"/>
            <w:vAlign w:val="center"/>
            <w:shd w:fill="FFFFFF"/>
            <w:tcMar>
              <w:top w:w="75" w:type="dxa"/>
              <w:bottom w:w="75" w:type="dxa"/>
              <w:left w:w="90" w:type="dxa"/>
              <w:right w:w="90" w:type="dxa"/>
            </w:tcMar>
          </w:tcPr>
          <w:p>
            <w:pPr>
              <w:spacing w:after="0" w:line="245" w:lineRule="auto"/>
            </w:pPr>
            <w:r>
              <w:rPr>
                <w:sz w:val="20"/>
              </w:rPr>
              <w:t>Four substantial brand posts each week; one optional founder perspective. The calendar intentionally includes days without an original post.</w:t>
            </w:r>
          </w:p>
        </w:tc>
      </w:tr>
      <w:tr>
        <w:trPr>
          <w:cantSplit/>
        </w:trPr>
        <w:tc>
          <w:tcPr>
            <w:tcW w:type="dxa" w:w="1656"/>
            <w:vAlign w:val="center"/>
            <w:shd w:fill="F3F3F3"/>
            <w:tcMar>
              <w:top w:w="75" w:type="dxa"/>
              <w:bottom w:w="75" w:type="dxa"/>
              <w:left w:w="90" w:type="dxa"/>
              <w:right w:w="90" w:type="dxa"/>
            </w:tcMar>
          </w:tcPr>
          <w:p>
            <w:pPr>
              <w:spacing w:after="0" w:line="245" w:lineRule="auto"/>
            </w:pPr>
            <w:r>
              <w:rPr>
                <w:sz w:val="20"/>
              </w:rPr>
              <w:t>Time</w:t>
            </w:r>
          </w:p>
        </w:tc>
        <w:tc>
          <w:tcPr>
            <w:tcW w:type="dxa" w:w="8424"/>
            <w:vAlign w:val="center"/>
            <w:shd w:fill="F3F3F3"/>
            <w:tcMar>
              <w:top w:w="75" w:type="dxa"/>
              <w:bottom w:w="75" w:type="dxa"/>
              <w:left w:w="90" w:type="dxa"/>
              <w:right w:w="90" w:type="dxa"/>
            </w:tcMar>
          </w:tcPr>
          <w:p>
            <w:pPr>
              <w:spacing w:after="0" w:line="245" w:lineRule="auto"/>
            </w:pPr>
            <w:r>
              <w:rPr>
                <w:sz w:val="20"/>
              </w:rPr>
              <w:t>Alternate 14:00 UTC and 17:00 UTC when someone can answer. These are test windows, not algorithm guarantees.</w:t>
            </w:r>
          </w:p>
        </w:tc>
      </w:tr>
      <w:tr>
        <w:trPr>
          <w:cantSplit/>
        </w:trPr>
        <w:tc>
          <w:tcPr>
            <w:tcW w:type="dxa" w:w="1656"/>
            <w:vAlign w:val="center"/>
            <w:shd w:fill="FFFFFF"/>
            <w:tcMar>
              <w:top w:w="75" w:type="dxa"/>
              <w:bottom w:w="75" w:type="dxa"/>
              <w:left w:w="90" w:type="dxa"/>
              <w:right w:w="90" w:type="dxa"/>
            </w:tcMar>
          </w:tcPr>
          <w:p>
            <w:pPr>
              <w:spacing w:after="0" w:line="245" w:lineRule="auto"/>
            </w:pPr>
            <w:r>
              <w:rPr>
                <w:sz w:val="20"/>
              </w:rPr>
              <w:t>Effort</w:t>
            </w:r>
          </w:p>
        </w:tc>
        <w:tc>
          <w:tcPr>
            <w:tcW w:type="dxa" w:w="8424"/>
            <w:vAlign w:val="center"/>
            <w:shd w:fill="FFFFFF"/>
            <w:tcMar>
              <w:top w:w="75" w:type="dxa"/>
              <w:bottom w:w="75" w:type="dxa"/>
              <w:left w:w="90" w:type="dxa"/>
              <w:right w:w="90" w:type="dxa"/>
            </w:tcMar>
          </w:tcPr>
          <w:p>
            <w:pPr>
              <w:spacing w:after="0" w:line="245" w:lineRule="auto"/>
            </w:pPr>
            <w:r>
              <w:rPr>
                <w:sz w:val="20"/>
              </w:rPr>
              <w:t>Allow 12 to 15 combined GTM hours per week, with engineering additional. If stretched, reduce to three originals and defer the large study.</w:t>
            </w:r>
          </w:p>
        </w:tc>
      </w:tr>
      <w:tr>
        <w:trPr>
          <w:cantSplit/>
        </w:trPr>
        <w:tc>
          <w:tcPr>
            <w:tcW w:type="dxa" w:w="1656"/>
            <w:vAlign w:val="center"/>
            <w:shd w:fill="F3F3F3"/>
            <w:tcMar>
              <w:top w:w="75" w:type="dxa"/>
              <w:bottom w:w="75" w:type="dxa"/>
              <w:left w:w="90" w:type="dxa"/>
              <w:right w:w="90" w:type="dxa"/>
            </w:tcMar>
          </w:tcPr>
          <w:p>
            <w:pPr>
              <w:spacing w:after="0" w:line="245" w:lineRule="auto"/>
            </w:pPr>
            <w:r>
              <w:rPr>
                <w:sz w:val="20"/>
              </w:rPr>
              <w:t>Owners</w:t>
            </w:r>
          </w:p>
        </w:tc>
        <w:tc>
          <w:tcPr>
            <w:tcW w:type="dxa" w:w="8424"/>
            <w:vAlign w:val="center"/>
            <w:shd w:fill="F3F3F3"/>
            <w:tcMar>
              <w:top w:w="75" w:type="dxa"/>
              <w:bottom w:w="75" w:type="dxa"/>
              <w:left w:w="90" w:type="dxa"/>
              <w:right w:w="90" w:type="dxa"/>
            </w:tcMar>
          </w:tcPr>
          <w:p>
            <w:pPr>
              <w:spacing w:after="0" w:line="245" w:lineRule="auto"/>
            </w:pPr>
            <w:r>
              <w:rPr>
                <w:sz w:val="20"/>
              </w:rPr>
              <w:t>Poulav validates technical claims and integrations. Ishita or another available teammate can own the experiment and calendar. Roles are proposed.</w:t>
            </w:r>
          </w:p>
        </w:tc>
      </w:tr>
      <w:tr>
        <w:trPr>
          <w:cantSplit/>
        </w:trPr>
        <w:tc>
          <w:tcPr>
            <w:tcW w:type="dxa" w:w="1656"/>
            <w:vAlign w:val="center"/>
            <w:shd w:fill="FFFFFF"/>
            <w:tcMar>
              <w:top w:w="75" w:type="dxa"/>
              <w:bottom w:w="75" w:type="dxa"/>
              <w:left w:w="90" w:type="dxa"/>
              <w:right w:w="90" w:type="dxa"/>
            </w:tcMar>
          </w:tcPr>
          <w:p>
            <w:pPr>
              <w:spacing w:after="0" w:line="245" w:lineRule="auto"/>
            </w:pPr>
            <w:r>
              <w:rPr>
                <w:sz w:val="20"/>
              </w:rPr>
              <w:t>Conversion</w:t>
            </w:r>
          </w:p>
        </w:tc>
        <w:tc>
          <w:tcPr>
            <w:tcW w:type="dxa" w:w="8424"/>
            <w:vAlign w:val="center"/>
            <w:shd w:fill="FFFFFF"/>
            <w:tcMar>
              <w:top w:w="75" w:type="dxa"/>
              <w:bottom w:w="75" w:type="dxa"/>
              <w:left w:w="90" w:type="dxa"/>
              <w:right w:w="90" w:type="dxa"/>
            </w:tcMar>
          </w:tcPr>
          <w:p>
            <w:pPr>
              <w:spacing w:after="0" w:line="245" w:lineRule="auto"/>
            </w:pPr>
            <w:r>
              <w:rPr>
                <w:sz w:val="20"/>
              </w:rPr>
              <w:t>Use one main call to action per post. Count outside mock runs, actual workflow conversations, and paid commitments separately.</w:t>
            </w:r>
          </w:p>
        </w:tc>
      </w:tr>
      <w:tr>
        <w:trPr>
          <w:cantSplit/>
        </w:trPr>
        <w:tc>
          <w:tcPr>
            <w:tcW w:type="dxa" w:w="1656"/>
            <w:vAlign w:val="center"/>
            <w:shd w:fill="F3F3F3"/>
            <w:tcMar>
              <w:top w:w="75" w:type="dxa"/>
              <w:bottom w:w="75" w:type="dxa"/>
              <w:left w:w="90" w:type="dxa"/>
              <w:right w:w="90" w:type="dxa"/>
            </w:tcMar>
          </w:tcPr>
          <w:p>
            <w:pPr>
              <w:spacing w:after="0" w:line="245" w:lineRule="auto"/>
            </w:pPr>
            <w:r>
              <w:rPr>
                <w:sz w:val="20"/>
              </w:rPr>
              <w:t>Publication</w:t>
            </w:r>
          </w:p>
        </w:tc>
        <w:tc>
          <w:tcPr>
            <w:tcW w:type="dxa" w:w="8424"/>
            <w:vAlign w:val="center"/>
            <w:shd w:fill="F3F3F3"/>
            <w:tcMar>
              <w:top w:w="75" w:type="dxa"/>
              <w:bottom w:w="75" w:type="dxa"/>
              <w:left w:w="90" w:type="dxa"/>
              <w:right w:w="90" w:type="dxa"/>
            </w:tcMar>
          </w:tcPr>
          <w:p>
            <w:pPr>
              <w:spacing w:after="0" w:line="245" w:lineRule="auto"/>
            </w:pPr>
            <w:r>
              <w:rPr>
                <w:sz w:val="20"/>
              </w:rPr>
              <w:t>Drafts are editable copy. Check the stated asset and evidence requirements before publication; conditional work is clearly labeled.</w:t>
            </w:r>
          </w:p>
        </w:tc>
      </w:tr>
    </w:tbl>
    <w:p>
      <w:pPr>
        <w:spacing w:after="0"/>
      </w:pPr>
    </w:p>
    <w:p>
      <w:r>
        <w:t>The current release supports mock mode and has a documented cross-framework mainnet demonstration. Erebus remains experimental and unaudited. The launch had about 10.2K public post views at observation, not 10.2K verified video completions or prospective buyers.</w:t>
      </w:r>
      <w:r>
        <w:rPr>
          <w:vertAlign w:val="superscript"/>
        </w:rPr>
        <w:footnoteReference w:id="1"/>
      </w:r>
      <w:r/>
    </w:p>
    <w:p>
      <w:pPr>
        <w:pStyle w:val="Heading1"/>
        <w:pageBreakBefore/>
      </w:pPr>
      <w:r>
        <w:t>Week one turns launch attention into first use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800"/>
        <w:gridCol w:w="4464"/>
        <w:gridCol w:w="2520"/>
      </w:tblGrid>
      <w:tr>
        <w:trPr>
          <w:cantSplit/>
          <w:tblHeader/>
        </w:trPr>
        <w:tc>
          <w:tcPr>
            <w:tcW w:type="dxa" w:w="1296"/>
            <w:vAlign w:val="center"/>
            <w:shd w:fill="333333"/>
            <w:tcMar>
              <w:top w:w="75" w:type="dxa"/>
              <w:bottom w:w="75" w:type="dxa"/>
              <w:left w:w="90" w:type="dxa"/>
              <w:right w:w="90" w:type="dxa"/>
            </w:tcMar>
          </w:tcPr>
          <w:p>
            <w:pPr>
              <w:spacing w:after="0" w:line="245" w:lineRule="auto"/>
            </w:pPr>
            <w:r>
              <w:rPr>
                <w:b/>
                <w:color w:val="FFFFFF"/>
                <w:sz w:val="20"/>
              </w:rPr>
              <w:t>Day and date</w:t>
            </w:r>
          </w:p>
        </w:tc>
        <w:tc>
          <w:tcPr>
            <w:tcW w:type="dxa" w:w="1800"/>
            <w:vAlign w:val="center"/>
            <w:shd w:fill="333333"/>
            <w:tcMar>
              <w:top w:w="75" w:type="dxa"/>
              <w:bottom w:w="75" w:type="dxa"/>
              <w:left w:w="90" w:type="dxa"/>
              <w:right w:w="90" w:type="dxa"/>
            </w:tcMar>
          </w:tcPr>
          <w:p>
            <w:pPr>
              <w:spacing w:after="0" w:line="245" w:lineRule="auto"/>
            </w:pPr>
            <w:r>
              <w:rPr>
                <w:b/>
                <w:color w:val="FFFFFF"/>
                <w:sz w:val="20"/>
              </w:rPr>
              <w:t>Publication</w:t>
            </w:r>
          </w:p>
        </w:tc>
        <w:tc>
          <w:tcPr>
            <w:tcW w:type="dxa" w:w="4464"/>
            <w:vAlign w:val="center"/>
            <w:shd w:fill="333333"/>
            <w:tcMar>
              <w:top w:w="75" w:type="dxa"/>
              <w:bottom w:w="75" w:type="dxa"/>
              <w:left w:w="90" w:type="dxa"/>
              <w:right w:w="90" w:type="dxa"/>
            </w:tcMar>
          </w:tcPr>
          <w:p>
            <w:pPr>
              <w:spacing w:after="0" w:line="245" w:lineRule="auto"/>
            </w:pPr>
            <w:r>
              <w:rPr>
                <w:b/>
                <w:color w:val="FFFFFF"/>
                <w:sz w:val="20"/>
              </w:rPr>
              <w:t>Work and proposed owner</w:t>
            </w:r>
          </w:p>
        </w:tc>
        <w:tc>
          <w:tcPr>
            <w:tcW w:type="dxa" w:w="2520"/>
            <w:vAlign w:val="center"/>
            <w:shd w:fill="333333"/>
            <w:tcMar>
              <w:top w:w="75" w:type="dxa"/>
              <w:bottom w:w="75" w:type="dxa"/>
              <w:left w:w="90" w:type="dxa"/>
              <w:right w:w="90" w:type="dxa"/>
            </w:tcMar>
          </w:tcPr>
          <w:p>
            <w:pPr>
              <w:spacing w:after="0" w:line="245" w:lineRule="auto"/>
            </w:pPr>
            <w:r>
              <w:rPr>
                <w:b/>
                <w:color w:val="FFFFFF"/>
                <w:sz w:val="20"/>
              </w:rPr>
              <w:t>Evidence to record</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1 · 13 Sep</w:t>
            </w:r>
          </w:p>
        </w:tc>
        <w:tc>
          <w:tcPr>
            <w:tcW w:type="dxa" w:w="1800"/>
            <w:vAlign w:val="center"/>
            <w:shd w:fill="FFFFFF"/>
            <w:tcMar>
              <w:top w:w="75" w:type="dxa"/>
              <w:bottom w:w="75" w:type="dxa"/>
              <w:left w:w="90" w:type="dxa"/>
              <w:right w:w="90" w:type="dxa"/>
            </w:tcMar>
          </w:tcPr>
          <w:p>
            <w:pPr>
              <w:spacing w:after="0" w:line="245" w:lineRule="auto"/>
            </w:pPr>
            <w:r>
              <w:rPr>
                <w:sz w:val="20"/>
              </w:rPr>
              <w:t>P01 · proof video</w:t>
            </w:r>
          </w:p>
        </w:tc>
        <w:tc>
          <w:tcPr>
            <w:tcW w:type="dxa" w:w="4464"/>
            <w:vAlign w:val="center"/>
            <w:shd w:fill="FFFFFF"/>
            <w:tcMar>
              <w:top w:w="75" w:type="dxa"/>
              <w:bottom w:w="75" w:type="dxa"/>
              <w:left w:w="90" w:type="dxa"/>
              <w:right w:w="90" w:type="dxa"/>
            </w:tcMar>
          </w:tcPr>
          <w:p>
            <w:pPr>
              <w:spacing w:after="0" w:line="245" w:lineRule="auto"/>
            </w:pPr>
            <w:r>
              <w:rPr>
                <w:sz w:val="20"/>
              </w:rPr>
              <w:t>Poulav: publish the cross-framework result. Add a visible mock-start path and reply to substantive launch questions.</w:t>
            </w:r>
          </w:p>
        </w:tc>
        <w:tc>
          <w:tcPr>
            <w:tcW w:type="dxa" w:w="2520"/>
            <w:vAlign w:val="center"/>
            <w:shd w:fill="FFFFFF"/>
            <w:tcMar>
              <w:top w:w="75" w:type="dxa"/>
              <w:bottom w:w="75" w:type="dxa"/>
              <w:left w:w="90" w:type="dxa"/>
              <w:right w:w="90" w:type="dxa"/>
            </w:tcMar>
          </w:tcPr>
          <w:p>
            <w:pPr>
              <w:spacing w:after="0" w:line="245" w:lineRule="auto"/>
            </w:pPr>
            <w:r>
              <w:rPr>
                <w:sz w:val="20"/>
              </w:rPr>
              <w:t>Log baseline; identify 10 relevant teams.</w:t>
            </w:r>
          </w:p>
        </w:tc>
      </w:tr>
      <w:tr>
        <w:trPr>
          <w:cantSplit/>
        </w:trPr>
        <w:tc>
          <w:tcPr>
            <w:tcW w:type="dxa" w:w="1296"/>
            <w:vAlign w:val="center"/>
            <w:shd w:fill="F3F3F3"/>
            <w:tcMar>
              <w:top w:w="75" w:type="dxa"/>
              <w:bottom w:w="75" w:type="dxa"/>
              <w:left w:w="90" w:type="dxa"/>
              <w:right w:w="90" w:type="dxa"/>
            </w:tcMar>
          </w:tcPr>
          <w:p>
            <w:pPr>
              <w:spacing w:after="0" w:line="245" w:lineRule="auto"/>
            </w:pPr>
            <w:r>
              <w:rPr>
                <w:sz w:val="20"/>
              </w:rPr>
              <w:t>2 · 14 Sep</w:t>
            </w:r>
          </w:p>
        </w:tc>
        <w:tc>
          <w:tcPr>
            <w:tcW w:type="dxa" w:w="1800"/>
            <w:vAlign w:val="center"/>
            <w:shd w:fill="F3F3F3"/>
            <w:tcMar>
              <w:top w:w="75" w:type="dxa"/>
              <w:bottom w:w="75" w:type="dxa"/>
              <w:left w:w="90" w:type="dxa"/>
              <w:right w:w="90" w:type="dxa"/>
            </w:tcMar>
          </w:tcPr>
          <w:p>
            <w:pPr>
              <w:spacing w:after="0" w:line="245" w:lineRule="auto"/>
            </w:pPr>
            <w:r>
              <w:rPr>
                <w:sz w:val="20"/>
              </w:rPr>
              <w:t>Discovery and setup</w:t>
            </w:r>
          </w:p>
        </w:tc>
        <w:tc>
          <w:tcPr>
            <w:tcW w:type="dxa" w:w="4464"/>
            <w:vAlign w:val="center"/>
            <w:shd w:fill="F3F3F3"/>
            <w:tcMar>
              <w:top w:w="75" w:type="dxa"/>
              <w:bottom w:w="75" w:type="dxa"/>
              <w:left w:w="90" w:type="dxa"/>
              <w:right w:w="90" w:type="dxa"/>
            </w:tcMar>
          </w:tcPr>
          <w:p>
            <w:pPr>
              <w:spacing w:after="0" w:line="245" w:lineRule="auto"/>
            </w:pPr>
            <w:r>
              <w:rPr>
                <w:sz w:val="20"/>
              </w:rPr>
              <w:t>Team: invite relevant existing responders to workflow interviews. Replay the current quickstart on a clean machine.</w:t>
            </w:r>
          </w:p>
        </w:tc>
        <w:tc>
          <w:tcPr>
            <w:tcW w:type="dxa" w:w="2520"/>
            <w:vAlign w:val="center"/>
            <w:shd w:fill="F3F3F3"/>
            <w:tcMar>
              <w:top w:w="75" w:type="dxa"/>
              <w:bottom w:w="75" w:type="dxa"/>
              <w:left w:w="90" w:type="dxa"/>
              <w:right w:w="90" w:type="dxa"/>
            </w:tcMar>
          </w:tcPr>
          <w:p>
            <w:pPr>
              <w:spacing w:after="0" w:line="245" w:lineRule="auto"/>
            </w:pPr>
            <w:r>
              <w:rPr>
                <w:sz w:val="20"/>
              </w:rPr>
              <w:t>Two interviews booked; one install friction list.</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3 · 15 Sep</w:t>
            </w:r>
          </w:p>
        </w:tc>
        <w:tc>
          <w:tcPr>
            <w:tcW w:type="dxa" w:w="1800"/>
            <w:vAlign w:val="center"/>
            <w:shd w:fill="FFFFFF"/>
            <w:tcMar>
              <w:top w:w="75" w:type="dxa"/>
              <w:bottom w:w="75" w:type="dxa"/>
              <w:left w:w="90" w:type="dxa"/>
              <w:right w:w="90" w:type="dxa"/>
            </w:tcMar>
          </w:tcPr>
          <w:p>
            <w:pPr>
              <w:spacing w:after="0" w:line="245" w:lineRule="auto"/>
            </w:pPr>
            <w:r>
              <w:rPr>
                <w:sz w:val="20"/>
              </w:rPr>
              <w:t>P02 · privacy diagram</w:t>
            </w:r>
          </w:p>
        </w:tc>
        <w:tc>
          <w:tcPr>
            <w:tcW w:type="dxa" w:w="4464"/>
            <w:vAlign w:val="center"/>
            <w:shd w:fill="FFFFFF"/>
            <w:tcMar>
              <w:top w:w="75" w:type="dxa"/>
              <w:bottom w:w="75" w:type="dxa"/>
              <w:left w:w="90" w:type="dxa"/>
              <w:right w:w="90" w:type="dxa"/>
            </w:tcMar>
          </w:tcPr>
          <w:p>
            <w:pPr>
              <w:spacing w:after="0" w:line="245" w:lineRule="auto"/>
            </w:pPr>
            <w:r>
              <w:rPr>
                <w:sz w:val="20"/>
              </w:rPr>
              <w:t>Poulav: publish one deal through the public, party, and reviewer views. Review wording against the privacy model.</w:t>
            </w:r>
          </w:p>
        </w:tc>
        <w:tc>
          <w:tcPr>
            <w:tcW w:type="dxa" w:w="2520"/>
            <w:vAlign w:val="center"/>
            <w:shd w:fill="FFFFFF"/>
            <w:tcMar>
              <w:top w:w="75" w:type="dxa"/>
              <w:bottom w:w="75" w:type="dxa"/>
              <w:left w:w="90" w:type="dxa"/>
              <w:right w:w="90" w:type="dxa"/>
            </w:tcMar>
          </w:tcPr>
          <w:p>
            <w:pPr>
              <w:spacing w:after="0" w:line="245" w:lineRule="auto"/>
            </w:pPr>
            <w:r>
              <w:rPr>
                <w:sz w:val="20"/>
              </w:rPr>
              <w:t>Count questions from actual builders and operators.</w:t>
            </w:r>
          </w:p>
        </w:tc>
      </w:tr>
      <w:tr>
        <w:trPr>
          <w:cantSplit/>
        </w:trPr>
        <w:tc>
          <w:tcPr>
            <w:tcW w:type="dxa" w:w="1296"/>
            <w:vAlign w:val="center"/>
            <w:shd w:fill="F3F3F3"/>
            <w:tcMar>
              <w:top w:w="75" w:type="dxa"/>
              <w:bottom w:w="75" w:type="dxa"/>
              <w:left w:w="90" w:type="dxa"/>
              <w:right w:w="90" w:type="dxa"/>
            </w:tcMar>
          </w:tcPr>
          <w:p>
            <w:pPr>
              <w:spacing w:after="0" w:line="245" w:lineRule="auto"/>
            </w:pPr>
            <w:r>
              <w:rPr>
                <w:sz w:val="20"/>
              </w:rPr>
              <w:t>4 · 16 Sep</w:t>
            </w:r>
          </w:p>
        </w:tc>
        <w:tc>
          <w:tcPr>
            <w:tcW w:type="dxa" w:w="1800"/>
            <w:vAlign w:val="center"/>
            <w:shd w:fill="F3F3F3"/>
            <w:tcMar>
              <w:top w:w="75" w:type="dxa"/>
              <w:bottom w:w="75" w:type="dxa"/>
              <w:left w:w="90" w:type="dxa"/>
              <w:right w:w="90" w:type="dxa"/>
            </w:tcMar>
          </w:tcPr>
          <w:p>
            <w:pPr>
              <w:spacing w:after="0" w:line="245" w:lineRule="auto"/>
            </w:pPr>
            <w:r>
              <w:rPr>
                <w:sz w:val="20"/>
              </w:rPr>
              <w:t>P03 · mock walkthrough</w:t>
            </w:r>
          </w:p>
        </w:tc>
        <w:tc>
          <w:tcPr>
            <w:tcW w:type="dxa" w:w="4464"/>
            <w:vAlign w:val="center"/>
            <w:shd w:fill="F3F3F3"/>
            <w:tcMar>
              <w:top w:w="75" w:type="dxa"/>
              <w:bottom w:w="75" w:type="dxa"/>
              <w:left w:w="90" w:type="dxa"/>
              <w:right w:w="90" w:type="dxa"/>
            </w:tcMar>
          </w:tcPr>
          <w:p>
            <w:pPr>
              <w:spacing w:after="0" w:line="245" w:lineRule="auto"/>
            </w:pPr>
            <w:r>
              <w:rPr>
                <w:sz w:val="20"/>
              </w:rPr>
              <w:t>Poulav: show the shortest verified setup. Team: conduct workflow interviews and record exact objections.</w:t>
            </w:r>
          </w:p>
        </w:tc>
        <w:tc>
          <w:tcPr>
            <w:tcW w:type="dxa" w:w="2520"/>
            <w:vAlign w:val="center"/>
            <w:shd w:fill="F3F3F3"/>
            <w:tcMar>
              <w:top w:w="75" w:type="dxa"/>
              <w:bottom w:w="75" w:type="dxa"/>
              <w:left w:w="90" w:type="dxa"/>
              <w:right w:w="90" w:type="dxa"/>
            </w:tcMar>
          </w:tcPr>
          <w:p>
            <w:pPr>
              <w:spacing w:after="0" w:line="245" w:lineRule="auto"/>
            </w:pPr>
            <w:r>
              <w:rPr>
                <w:sz w:val="20"/>
              </w:rPr>
              <w:t>Record first outside mock completions separately.</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5 · 17 Sep</w:t>
            </w:r>
          </w:p>
        </w:tc>
        <w:tc>
          <w:tcPr>
            <w:tcW w:type="dxa" w:w="1800"/>
            <w:vAlign w:val="center"/>
            <w:shd w:fill="FFFFFF"/>
            <w:tcMar>
              <w:top w:w="75" w:type="dxa"/>
              <w:bottom w:w="75" w:type="dxa"/>
              <w:left w:w="90" w:type="dxa"/>
              <w:right w:w="90" w:type="dxa"/>
            </w:tcMar>
          </w:tcPr>
          <w:p>
            <w:pPr>
              <w:spacing w:after="0" w:line="245" w:lineRule="auto"/>
            </w:pPr>
            <w:r>
              <w:rPr>
                <w:sz w:val="20"/>
              </w:rPr>
              <w:t>Buyer discovery</w:t>
            </w:r>
          </w:p>
        </w:tc>
        <w:tc>
          <w:tcPr>
            <w:tcW w:type="dxa" w:w="4464"/>
            <w:vAlign w:val="center"/>
            <w:shd w:fill="FFFFFF"/>
            <w:tcMar>
              <w:top w:w="75" w:type="dxa"/>
              <w:bottom w:w="75" w:type="dxa"/>
              <w:left w:w="90" w:type="dxa"/>
              <w:right w:w="90" w:type="dxa"/>
            </w:tcMar>
          </w:tcPr>
          <w:p>
            <w:pPr>
              <w:spacing w:after="0" w:line="245" w:lineRule="auto"/>
            </w:pPr>
            <w:r>
              <w:rPr>
                <w:sz w:val="20"/>
              </w:rPr>
              <w:t>Team: finish interviews, identify the budget owner and existing counterparty, prepare the pilot offer.</w:t>
            </w:r>
          </w:p>
        </w:tc>
        <w:tc>
          <w:tcPr>
            <w:tcW w:type="dxa" w:w="2520"/>
            <w:vAlign w:val="center"/>
            <w:shd w:fill="FFFFFF"/>
            <w:tcMar>
              <w:top w:w="75" w:type="dxa"/>
              <w:bottom w:w="75" w:type="dxa"/>
              <w:left w:w="90" w:type="dxa"/>
              <w:right w:w="90" w:type="dxa"/>
            </w:tcMar>
          </w:tcPr>
          <w:p>
            <w:pPr>
              <w:spacing w:after="0" w:line="245" w:lineRule="auto"/>
            </w:pPr>
            <w:r>
              <w:rPr>
                <w:sz w:val="20"/>
              </w:rPr>
              <w:t>Five total interviews targeted by day seven.</w:t>
            </w:r>
          </w:p>
        </w:tc>
      </w:tr>
      <w:tr>
        <w:trPr>
          <w:cantSplit/>
        </w:trPr>
        <w:tc>
          <w:tcPr>
            <w:tcW w:type="dxa" w:w="1296"/>
            <w:vAlign w:val="center"/>
            <w:shd w:fill="F3F3F3"/>
            <w:tcMar>
              <w:top w:w="75" w:type="dxa"/>
              <w:bottom w:w="75" w:type="dxa"/>
              <w:left w:w="90" w:type="dxa"/>
              <w:right w:w="90" w:type="dxa"/>
            </w:tcMar>
          </w:tcPr>
          <w:p>
            <w:pPr>
              <w:spacing w:after="0" w:line="245" w:lineRule="auto"/>
            </w:pPr>
            <w:r>
              <w:rPr>
                <w:sz w:val="20"/>
              </w:rPr>
              <w:t>6 · 18 Sep</w:t>
            </w:r>
          </w:p>
        </w:tc>
        <w:tc>
          <w:tcPr>
            <w:tcW w:type="dxa" w:w="1800"/>
            <w:vAlign w:val="center"/>
            <w:shd w:fill="F3F3F3"/>
            <w:tcMar>
              <w:top w:w="75" w:type="dxa"/>
              <w:bottom w:w="75" w:type="dxa"/>
              <w:left w:w="90" w:type="dxa"/>
              <w:right w:w="90" w:type="dxa"/>
            </w:tcMar>
          </w:tcPr>
          <w:p>
            <w:pPr>
              <w:spacing w:after="0" w:line="245" w:lineRule="auto"/>
            </w:pPr>
            <w:r>
              <w:rPr>
                <w:sz w:val="20"/>
              </w:rPr>
              <w:t>P04 · one-deal disclosure</w:t>
            </w:r>
          </w:p>
        </w:tc>
        <w:tc>
          <w:tcPr>
            <w:tcW w:type="dxa" w:w="4464"/>
            <w:vAlign w:val="center"/>
            <w:shd w:fill="F3F3F3"/>
            <w:tcMar>
              <w:top w:w="75" w:type="dxa"/>
              <w:bottom w:w="75" w:type="dxa"/>
              <w:left w:w="90" w:type="dxa"/>
              <w:right w:w="90" w:type="dxa"/>
            </w:tcMar>
          </w:tcPr>
          <w:p>
            <w:pPr>
              <w:spacing w:after="0" w:line="245" w:lineRule="auto"/>
            </w:pPr>
            <w:r>
              <w:rPr>
                <w:sz w:val="20"/>
              </w:rPr>
              <w:t>Poulav: explain the authorized-recipient test and expiry limits. Offer one guided mock session.</w:t>
            </w:r>
          </w:p>
        </w:tc>
        <w:tc>
          <w:tcPr>
            <w:tcW w:type="dxa" w:w="2520"/>
            <w:vAlign w:val="center"/>
            <w:shd w:fill="F3F3F3"/>
            <w:tcMar>
              <w:top w:w="75" w:type="dxa"/>
              <w:bottom w:w="75" w:type="dxa"/>
              <w:left w:w="90" w:type="dxa"/>
              <w:right w:w="90" w:type="dxa"/>
            </w:tcMar>
          </w:tcPr>
          <w:p>
            <w:pPr>
              <w:spacing w:after="0" w:line="245" w:lineRule="auto"/>
            </w:pPr>
            <w:r>
              <w:rPr>
                <w:sz w:val="20"/>
              </w:rPr>
              <w:t>Qualified walkthrough requests and completions.</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7 · 19 Sep</w:t>
            </w:r>
          </w:p>
        </w:tc>
        <w:tc>
          <w:tcPr>
            <w:tcW w:type="dxa" w:w="1800"/>
            <w:vAlign w:val="center"/>
            <w:shd w:fill="FFFFFF"/>
            <w:tcMar>
              <w:top w:w="75" w:type="dxa"/>
              <w:bottom w:w="75" w:type="dxa"/>
              <w:left w:w="90" w:type="dxa"/>
              <w:right w:w="90" w:type="dxa"/>
            </w:tcMar>
          </w:tcPr>
          <w:p>
            <w:pPr>
              <w:spacing w:after="0" w:line="245" w:lineRule="auto"/>
            </w:pPr>
            <w:r>
              <w:rPr>
                <w:sz w:val="20"/>
              </w:rPr>
              <w:t>Weekly review</w:t>
            </w:r>
          </w:p>
        </w:tc>
        <w:tc>
          <w:tcPr>
            <w:tcW w:type="dxa" w:w="4464"/>
            <w:vAlign w:val="center"/>
            <w:shd w:fill="FFFFFF"/>
            <w:tcMar>
              <w:top w:w="75" w:type="dxa"/>
              <w:bottom w:w="75" w:type="dxa"/>
              <w:left w:w="90" w:type="dxa"/>
              <w:right w:w="90" w:type="dxa"/>
            </w:tcMar>
          </w:tcPr>
          <w:p>
            <w:pPr>
              <w:spacing w:after="0" w:line="245" w:lineRule="auto"/>
            </w:pPr>
            <w:r>
              <w:rPr>
                <w:sz w:val="20"/>
              </w:rPr>
              <w:t>Team: inspect 24/72-hour outcomes and interview notes. Optional founder post: one real launch lesson.</w:t>
            </w:r>
          </w:p>
        </w:tc>
        <w:tc>
          <w:tcPr>
            <w:tcW w:type="dxa" w:w="2520"/>
            <w:vAlign w:val="center"/>
            <w:shd w:fill="FFFFFF"/>
            <w:tcMar>
              <w:top w:w="75" w:type="dxa"/>
              <w:bottom w:w="75" w:type="dxa"/>
              <w:left w:w="90" w:type="dxa"/>
              <w:right w:w="90" w:type="dxa"/>
            </w:tcMar>
          </w:tcPr>
          <w:p>
            <w:pPr>
              <w:spacing w:after="0" w:line="245" w:lineRule="auto"/>
            </w:pPr>
            <w:r>
              <w:rPr>
                <w:sz w:val="20"/>
              </w:rPr>
              <w:t>Continue if three interviews reveal a specific repeat problem.</w:t>
            </w:r>
          </w:p>
        </w:tc>
      </w:tr>
    </w:tbl>
    <w:p>
      <w:pPr>
        <w:spacing w:after="0"/>
      </w:pPr>
    </w:p>
    <w:p>
      <w:r>
        <w:t>Choose interviewees by actual workflow relevance. Friendly support is useful, but the interview must establish who pays whom, how often, what must remain confidential, and who controls the budget. Do not interpret a community repost as a customer commitment.</w:t>
      </w:r>
    </w:p>
    <w:p>
      <w:pPr>
        <w:pStyle w:val="Heading1"/>
        <w:pageBreakBefore/>
      </w:pPr>
      <w:r>
        <w:t>Week two tests activation and a paid offer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800"/>
        <w:gridCol w:w="4464"/>
        <w:gridCol w:w="2520"/>
      </w:tblGrid>
      <w:tr>
        <w:trPr>
          <w:cantSplit/>
          <w:tblHeader/>
        </w:trPr>
        <w:tc>
          <w:tcPr>
            <w:tcW w:type="dxa" w:w="1296"/>
            <w:vAlign w:val="center"/>
            <w:shd w:fill="333333"/>
            <w:tcMar>
              <w:top w:w="75" w:type="dxa"/>
              <w:bottom w:w="75" w:type="dxa"/>
              <w:left w:w="90" w:type="dxa"/>
              <w:right w:w="90" w:type="dxa"/>
            </w:tcMar>
          </w:tcPr>
          <w:p>
            <w:pPr>
              <w:spacing w:after="0" w:line="245" w:lineRule="auto"/>
            </w:pPr>
            <w:r>
              <w:rPr>
                <w:b/>
                <w:color w:val="FFFFFF"/>
                <w:sz w:val="20"/>
              </w:rPr>
              <w:t>Day and date</w:t>
            </w:r>
          </w:p>
        </w:tc>
        <w:tc>
          <w:tcPr>
            <w:tcW w:type="dxa" w:w="1800"/>
            <w:vAlign w:val="center"/>
            <w:shd w:fill="333333"/>
            <w:tcMar>
              <w:top w:w="75" w:type="dxa"/>
              <w:bottom w:w="75" w:type="dxa"/>
              <w:left w:w="90" w:type="dxa"/>
              <w:right w:w="90" w:type="dxa"/>
            </w:tcMar>
          </w:tcPr>
          <w:p>
            <w:pPr>
              <w:spacing w:after="0" w:line="245" w:lineRule="auto"/>
            </w:pPr>
            <w:r>
              <w:rPr>
                <w:b/>
                <w:color w:val="FFFFFF"/>
                <w:sz w:val="20"/>
              </w:rPr>
              <w:t>Publication</w:t>
            </w:r>
          </w:p>
        </w:tc>
        <w:tc>
          <w:tcPr>
            <w:tcW w:type="dxa" w:w="4464"/>
            <w:vAlign w:val="center"/>
            <w:shd w:fill="333333"/>
            <w:tcMar>
              <w:top w:w="75" w:type="dxa"/>
              <w:bottom w:w="75" w:type="dxa"/>
              <w:left w:w="90" w:type="dxa"/>
              <w:right w:w="90" w:type="dxa"/>
            </w:tcMar>
          </w:tcPr>
          <w:p>
            <w:pPr>
              <w:spacing w:after="0" w:line="245" w:lineRule="auto"/>
            </w:pPr>
            <w:r>
              <w:rPr>
                <w:b/>
                <w:color w:val="FFFFFF"/>
                <w:sz w:val="20"/>
              </w:rPr>
              <w:t>Work and proposed owner</w:t>
            </w:r>
          </w:p>
        </w:tc>
        <w:tc>
          <w:tcPr>
            <w:tcW w:type="dxa" w:w="2520"/>
            <w:vAlign w:val="center"/>
            <w:shd w:fill="333333"/>
            <w:tcMar>
              <w:top w:w="75" w:type="dxa"/>
              <w:bottom w:w="75" w:type="dxa"/>
              <w:left w:w="90" w:type="dxa"/>
              <w:right w:w="90" w:type="dxa"/>
            </w:tcMar>
          </w:tcPr>
          <w:p>
            <w:pPr>
              <w:spacing w:after="0" w:line="245" w:lineRule="auto"/>
            </w:pPr>
            <w:r>
              <w:rPr>
                <w:b/>
                <w:color w:val="FFFFFF"/>
                <w:sz w:val="20"/>
              </w:rPr>
              <w:t>Evidence to record</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8 · 20 Sep</w:t>
            </w:r>
          </w:p>
        </w:tc>
        <w:tc>
          <w:tcPr>
            <w:tcW w:type="dxa" w:w="1800"/>
            <w:vAlign w:val="center"/>
            <w:shd w:fill="FFFFFF"/>
            <w:tcMar>
              <w:top w:w="75" w:type="dxa"/>
              <w:bottom w:w="75" w:type="dxa"/>
              <w:left w:w="90" w:type="dxa"/>
              <w:right w:w="90" w:type="dxa"/>
            </w:tcMar>
          </w:tcPr>
          <w:p>
            <w:pPr>
              <w:spacing w:after="0" w:line="245" w:lineRule="auto"/>
            </w:pPr>
            <w:r>
              <w:rPr>
                <w:sz w:val="20"/>
              </w:rPr>
              <w:t>P05 · recovery</w:t>
            </w:r>
          </w:p>
        </w:tc>
        <w:tc>
          <w:tcPr>
            <w:tcW w:type="dxa" w:w="4464"/>
            <w:vAlign w:val="center"/>
            <w:shd w:fill="FFFFFF"/>
            <w:tcMar>
              <w:top w:w="75" w:type="dxa"/>
              <w:bottom w:w="75" w:type="dxa"/>
              <w:left w:w="90" w:type="dxa"/>
              <w:right w:w="90" w:type="dxa"/>
            </w:tcMar>
          </w:tcPr>
          <w:p>
            <w:pPr>
              <w:spacing w:after="0" w:line="245" w:lineRule="auto"/>
            </w:pPr>
            <w:r>
              <w:rPr>
                <w:sz w:val="20"/>
              </w:rPr>
              <w:t>Poulav: record a controlled uncertain-write example and the recovery flow.</w:t>
            </w:r>
          </w:p>
        </w:tc>
        <w:tc>
          <w:tcPr>
            <w:tcW w:type="dxa" w:w="2520"/>
            <w:vAlign w:val="center"/>
            <w:shd w:fill="FFFFFF"/>
            <w:tcMar>
              <w:top w:w="75" w:type="dxa"/>
              <w:bottom w:w="75" w:type="dxa"/>
              <w:left w:w="90" w:type="dxa"/>
              <w:right w:w="90" w:type="dxa"/>
            </w:tcMar>
          </w:tcPr>
          <w:p>
            <w:pPr>
              <w:spacing w:after="0" w:line="245" w:lineRule="auto"/>
            </w:pPr>
            <w:r>
              <w:rPr>
                <w:sz w:val="20"/>
              </w:rPr>
              <w:t>Builder questions about operating reliability.</w:t>
            </w:r>
          </w:p>
        </w:tc>
      </w:tr>
      <w:tr>
        <w:trPr>
          <w:cantSplit/>
        </w:trPr>
        <w:tc>
          <w:tcPr>
            <w:tcW w:type="dxa" w:w="1296"/>
            <w:vAlign w:val="center"/>
            <w:shd w:fill="F3F3F3"/>
            <w:tcMar>
              <w:top w:w="75" w:type="dxa"/>
              <w:bottom w:w="75" w:type="dxa"/>
              <w:left w:w="90" w:type="dxa"/>
              <w:right w:w="90" w:type="dxa"/>
            </w:tcMar>
          </w:tcPr>
          <w:p>
            <w:pPr>
              <w:spacing w:after="0" w:line="245" w:lineRule="auto"/>
            </w:pPr>
            <w:r>
              <w:rPr>
                <w:sz w:val="20"/>
              </w:rPr>
              <w:t>9 · 21 Sep</w:t>
            </w:r>
          </w:p>
        </w:tc>
        <w:tc>
          <w:tcPr>
            <w:tcW w:type="dxa" w:w="1800"/>
            <w:vAlign w:val="center"/>
            <w:shd w:fill="F3F3F3"/>
            <w:tcMar>
              <w:top w:w="75" w:type="dxa"/>
              <w:bottom w:w="75" w:type="dxa"/>
              <w:left w:w="90" w:type="dxa"/>
              <w:right w:w="90" w:type="dxa"/>
            </w:tcMar>
          </w:tcPr>
          <w:p>
            <w:pPr>
              <w:spacing w:after="0" w:line="245" w:lineRule="auto"/>
            </w:pPr>
            <w:r>
              <w:rPr>
                <w:sz w:val="20"/>
              </w:rPr>
              <w:t>Onboarding and offer</w:t>
            </w:r>
          </w:p>
        </w:tc>
        <w:tc>
          <w:tcPr>
            <w:tcW w:type="dxa" w:w="4464"/>
            <w:vAlign w:val="center"/>
            <w:shd w:fill="F3F3F3"/>
            <w:tcMar>
              <w:top w:w="75" w:type="dxa"/>
              <w:bottom w:w="75" w:type="dxa"/>
              <w:left w:w="90" w:type="dxa"/>
              <w:right w:w="90" w:type="dxa"/>
            </w:tcMar>
          </w:tcPr>
          <w:p>
            <w:pPr>
              <w:spacing w:after="0" w:line="245" w:lineRule="auto"/>
            </w:pPr>
            <w:r>
              <w:rPr>
                <w:sz w:val="20"/>
              </w:rPr>
              <w:t>Team: run outside mock sessions and discuss the $750 evaluation with qualified budget owners.</w:t>
            </w:r>
          </w:p>
        </w:tc>
        <w:tc>
          <w:tcPr>
            <w:tcW w:type="dxa" w:w="2520"/>
            <w:vAlign w:val="center"/>
            <w:shd w:fill="F3F3F3"/>
            <w:tcMar>
              <w:top w:w="75" w:type="dxa"/>
              <w:bottom w:w="75" w:type="dxa"/>
              <w:left w:w="90" w:type="dxa"/>
              <w:right w:w="90" w:type="dxa"/>
            </w:tcMar>
          </w:tcPr>
          <w:p>
            <w:pPr>
              <w:spacing w:after="0" w:line="245" w:lineRule="auto"/>
            </w:pPr>
            <w:r>
              <w:rPr>
                <w:sz w:val="20"/>
              </w:rPr>
              <w:t>Objections, next meeting, decision owner, counterparty.</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10 · 22 Sep</w:t>
            </w:r>
          </w:p>
        </w:tc>
        <w:tc>
          <w:tcPr>
            <w:tcW w:type="dxa" w:w="1800"/>
            <w:vAlign w:val="center"/>
            <w:shd w:fill="FFFFFF"/>
            <w:tcMar>
              <w:top w:w="75" w:type="dxa"/>
              <w:bottom w:w="75" w:type="dxa"/>
              <w:left w:w="90" w:type="dxa"/>
              <w:right w:w="90" w:type="dxa"/>
            </w:tcMar>
          </w:tcPr>
          <w:p>
            <w:pPr>
              <w:spacing w:after="0" w:line="245" w:lineRule="auto"/>
            </w:pPr>
            <w:r>
              <w:rPr>
                <w:sz w:val="20"/>
              </w:rPr>
              <w:t>P06 · article one</w:t>
            </w:r>
          </w:p>
        </w:tc>
        <w:tc>
          <w:tcPr>
            <w:tcW w:type="dxa" w:w="4464"/>
            <w:vAlign w:val="center"/>
            <w:shd w:fill="FFFFFF"/>
            <w:tcMar>
              <w:top w:w="75" w:type="dxa"/>
              <w:bottom w:w="75" w:type="dxa"/>
              <w:left w:w="90" w:type="dxa"/>
              <w:right w:w="90" w:type="dxa"/>
            </w:tcMar>
          </w:tcPr>
          <w:p>
            <w:pPr>
              <w:spacing w:after="0" w:line="245" w:lineRule="auto"/>
            </w:pPr>
            <w:r>
              <w:rPr>
                <w:sz w:val="20"/>
              </w:rPr>
              <w:t>Team: publish “What Erebus keeps private” using the draft below. Pair with one self-contained post.</w:t>
            </w:r>
          </w:p>
        </w:tc>
        <w:tc>
          <w:tcPr>
            <w:tcW w:type="dxa" w:w="2520"/>
            <w:vAlign w:val="center"/>
            <w:shd w:fill="FFFFFF"/>
            <w:tcMar>
              <w:top w:w="75" w:type="dxa"/>
              <w:bottom w:w="75" w:type="dxa"/>
              <w:left w:w="90" w:type="dxa"/>
              <w:right w:w="90" w:type="dxa"/>
            </w:tcMar>
          </w:tcPr>
          <w:p>
            <w:pPr>
              <w:spacing w:after="0" w:line="245" w:lineRule="auto"/>
            </w:pPr>
            <w:r>
              <w:rPr>
                <w:sz w:val="20"/>
              </w:rPr>
              <w:t>Article visits and workflow interview requests.</w:t>
            </w:r>
          </w:p>
        </w:tc>
      </w:tr>
      <w:tr>
        <w:trPr>
          <w:cantSplit/>
        </w:trPr>
        <w:tc>
          <w:tcPr>
            <w:tcW w:type="dxa" w:w="1296"/>
            <w:vAlign w:val="center"/>
            <w:shd w:fill="F3F3F3"/>
            <w:tcMar>
              <w:top w:w="75" w:type="dxa"/>
              <w:bottom w:w="75" w:type="dxa"/>
              <w:left w:w="90" w:type="dxa"/>
              <w:right w:w="90" w:type="dxa"/>
            </w:tcMar>
          </w:tcPr>
          <w:p>
            <w:pPr>
              <w:spacing w:after="0" w:line="245" w:lineRule="auto"/>
            </w:pPr>
            <w:r>
              <w:rPr>
                <w:sz w:val="20"/>
              </w:rPr>
              <w:t>11 · 23 Sep</w:t>
            </w:r>
          </w:p>
        </w:tc>
        <w:tc>
          <w:tcPr>
            <w:tcW w:type="dxa" w:w="1800"/>
            <w:vAlign w:val="center"/>
            <w:shd w:fill="F3F3F3"/>
            <w:tcMar>
              <w:top w:w="75" w:type="dxa"/>
              <w:bottom w:w="75" w:type="dxa"/>
              <w:left w:w="90" w:type="dxa"/>
              <w:right w:w="90" w:type="dxa"/>
            </w:tcMar>
          </w:tcPr>
          <w:p>
            <w:pPr>
              <w:spacing w:after="0" w:line="245" w:lineRule="auto"/>
            </w:pPr>
            <w:r>
              <w:rPr>
                <w:sz w:val="20"/>
              </w:rPr>
              <w:t>P07 · study protocol</w:t>
            </w:r>
          </w:p>
        </w:tc>
        <w:tc>
          <w:tcPr>
            <w:tcW w:type="dxa" w:w="4464"/>
            <w:vAlign w:val="center"/>
            <w:shd w:fill="F3F3F3"/>
            <w:tcMar>
              <w:top w:w="75" w:type="dxa"/>
              <w:bottom w:w="75" w:type="dxa"/>
              <w:left w:w="90" w:type="dxa"/>
              <w:right w:w="90" w:type="dxa"/>
            </w:tcMar>
          </w:tcPr>
          <w:p>
            <w:pPr>
              <w:spacing w:after="0" w:line="245" w:lineRule="auto"/>
            </w:pPr>
            <w:r>
              <w:rPr>
                <w:sz w:val="20"/>
              </w:rPr>
              <w:t>Experiment owner: publish the preregistered method after the ten-trial harness check.</w:t>
            </w:r>
          </w:p>
        </w:tc>
        <w:tc>
          <w:tcPr>
            <w:tcW w:type="dxa" w:w="2520"/>
            <w:vAlign w:val="center"/>
            <w:shd w:fill="F3F3F3"/>
            <w:tcMar>
              <w:top w:w="75" w:type="dxa"/>
              <w:bottom w:w="75" w:type="dxa"/>
              <w:left w:w="90" w:type="dxa"/>
              <w:right w:w="90" w:type="dxa"/>
            </w:tcMar>
          </w:tcPr>
          <w:p>
            <w:pPr>
              <w:spacing w:after="0" w:line="245" w:lineRule="auto"/>
            </w:pPr>
            <w:r>
              <w:rPr>
                <w:sz w:val="20"/>
              </w:rPr>
              <w:t>Reproducibility feedback; zero result claims yet.</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12 · 24 Sep</w:t>
            </w:r>
          </w:p>
        </w:tc>
        <w:tc>
          <w:tcPr>
            <w:tcW w:type="dxa" w:w="1800"/>
            <w:vAlign w:val="center"/>
            <w:shd w:fill="FFFFFF"/>
            <w:tcMar>
              <w:top w:w="75" w:type="dxa"/>
              <w:bottom w:w="75" w:type="dxa"/>
              <w:left w:w="90" w:type="dxa"/>
              <w:right w:w="90" w:type="dxa"/>
            </w:tcMar>
          </w:tcPr>
          <w:p>
            <w:pPr>
              <w:spacing w:after="0" w:line="245" w:lineRule="auto"/>
            </w:pPr>
            <w:r>
              <w:rPr>
                <w:sz w:val="20"/>
              </w:rPr>
              <w:t>Run and observe</w:t>
            </w:r>
          </w:p>
        </w:tc>
        <w:tc>
          <w:tcPr>
            <w:tcW w:type="dxa" w:w="4464"/>
            <w:vAlign w:val="center"/>
            <w:shd w:fill="FFFFFF"/>
            <w:tcMar>
              <w:top w:w="75" w:type="dxa"/>
              <w:bottom w:w="75" w:type="dxa"/>
              <w:left w:w="90" w:type="dxa"/>
              <w:right w:w="90" w:type="dxa"/>
            </w:tcMar>
          </w:tcPr>
          <w:p>
            <w:pPr>
              <w:spacing w:after="0" w:line="245" w:lineRule="auto"/>
            </w:pPr>
            <w:r>
              <w:rPr>
                <w:sz w:val="20"/>
              </w:rPr>
              <w:t>Experiment owner: run the frozen exploratory design within the agreed budget. Team: watch outside setup.</w:t>
            </w:r>
          </w:p>
        </w:tc>
        <w:tc>
          <w:tcPr>
            <w:tcW w:type="dxa" w:w="2520"/>
            <w:vAlign w:val="center"/>
            <w:shd w:fill="FFFFFF"/>
            <w:tcMar>
              <w:top w:w="75" w:type="dxa"/>
              <w:bottom w:w="75" w:type="dxa"/>
              <w:left w:w="90" w:type="dxa"/>
              <w:right w:w="90" w:type="dxa"/>
            </w:tcMar>
          </w:tcPr>
          <w:p>
            <w:pPr>
              <w:spacing w:after="0" w:line="245" w:lineRule="auto"/>
            </w:pPr>
            <w:r>
              <w:rPr>
                <w:sz w:val="20"/>
              </w:rPr>
              <w:t>Log all trials, errors, and actual installation blockers.</w:t>
            </w:r>
          </w:p>
        </w:tc>
      </w:tr>
      <w:tr>
        <w:trPr>
          <w:cantSplit/>
        </w:trPr>
        <w:tc>
          <w:tcPr>
            <w:tcW w:type="dxa" w:w="1296"/>
            <w:vAlign w:val="center"/>
            <w:shd w:fill="F3F3F3"/>
            <w:tcMar>
              <w:top w:w="75" w:type="dxa"/>
              <w:bottom w:w="75" w:type="dxa"/>
              <w:left w:w="90" w:type="dxa"/>
              <w:right w:w="90" w:type="dxa"/>
            </w:tcMar>
          </w:tcPr>
          <w:p>
            <w:pPr>
              <w:spacing w:after="0" w:line="245" w:lineRule="auto"/>
            </w:pPr>
            <w:r>
              <w:rPr>
                <w:sz w:val="20"/>
              </w:rPr>
              <w:t>13 · 25 Sep</w:t>
            </w:r>
          </w:p>
        </w:tc>
        <w:tc>
          <w:tcPr>
            <w:tcW w:type="dxa" w:w="1800"/>
            <w:vAlign w:val="center"/>
            <w:shd w:fill="F3F3F3"/>
            <w:tcMar>
              <w:top w:w="75" w:type="dxa"/>
              <w:bottom w:w="75" w:type="dxa"/>
              <w:left w:w="90" w:type="dxa"/>
              <w:right w:w="90" w:type="dxa"/>
            </w:tcMar>
          </w:tcPr>
          <w:p>
            <w:pPr>
              <w:spacing w:after="0" w:line="245" w:lineRule="auto"/>
            </w:pPr>
            <w:r>
              <w:rPr>
                <w:sz w:val="20"/>
              </w:rPr>
              <w:t>P08 · costs</w:t>
            </w:r>
          </w:p>
        </w:tc>
        <w:tc>
          <w:tcPr>
            <w:tcW w:type="dxa" w:w="4464"/>
            <w:vAlign w:val="center"/>
            <w:shd w:fill="F3F3F3"/>
            <w:tcMar>
              <w:top w:w="75" w:type="dxa"/>
              <w:bottom w:w="75" w:type="dxa"/>
              <w:left w:w="90" w:type="dxa"/>
              <w:right w:w="90" w:type="dxa"/>
            </w:tcMar>
          </w:tcPr>
          <w:p>
            <w:pPr>
              <w:spacing w:after="0" w:line="245" w:lineRule="auto"/>
            </w:pPr>
            <w:r>
              <w:rPr>
                <w:sz w:val="20"/>
              </w:rPr>
              <w:t>Poulav: publish cost components with dates and scope. Ask operators about acceptable payment size.</w:t>
            </w:r>
          </w:p>
        </w:tc>
        <w:tc>
          <w:tcPr>
            <w:tcW w:type="dxa" w:w="2520"/>
            <w:vAlign w:val="center"/>
            <w:shd w:fill="F3F3F3"/>
            <w:tcMar>
              <w:top w:w="75" w:type="dxa"/>
              <w:bottom w:w="75" w:type="dxa"/>
              <w:left w:w="90" w:type="dxa"/>
              <w:right w:w="90" w:type="dxa"/>
            </w:tcMar>
          </w:tcPr>
          <w:p>
            <w:pPr>
              <w:spacing w:after="0" w:line="245" w:lineRule="auto"/>
            </w:pPr>
            <w:r>
              <w:rPr>
                <w:sz w:val="20"/>
              </w:rPr>
              <w:t>Specific payment ranges and latency requirements.</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14 · 26 Sep</w:t>
            </w:r>
          </w:p>
        </w:tc>
        <w:tc>
          <w:tcPr>
            <w:tcW w:type="dxa" w:w="1800"/>
            <w:vAlign w:val="center"/>
            <w:shd w:fill="FFFFFF"/>
            <w:tcMar>
              <w:top w:w="75" w:type="dxa"/>
              <w:bottom w:w="75" w:type="dxa"/>
              <w:left w:w="90" w:type="dxa"/>
              <w:right w:w="90" w:type="dxa"/>
            </w:tcMar>
          </w:tcPr>
          <w:p>
            <w:pPr>
              <w:spacing w:after="0" w:line="245" w:lineRule="auto"/>
            </w:pPr>
            <w:r>
              <w:rPr>
                <w:sz w:val="20"/>
              </w:rPr>
              <w:t>Weekly review</w:t>
            </w:r>
          </w:p>
        </w:tc>
        <w:tc>
          <w:tcPr>
            <w:tcW w:type="dxa" w:w="4464"/>
            <w:vAlign w:val="center"/>
            <w:shd w:fill="FFFFFF"/>
            <w:tcMar>
              <w:top w:w="75" w:type="dxa"/>
              <w:bottom w:w="75" w:type="dxa"/>
              <w:left w:w="90" w:type="dxa"/>
              <w:right w:w="90" w:type="dxa"/>
            </w:tcMar>
          </w:tcPr>
          <w:p>
            <w:pPr>
              <w:spacing w:after="0" w:line="245" w:lineRule="auto"/>
            </w:pPr>
            <w:r>
              <w:rPr>
                <w:sz w:val="20"/>
              </w:rPr>
              <w:t>Team: review five outside mock runs and two replayed workflows. Optional founder reflection.</w:t>
            </w:r>
          </w:p>
        </w:tc>
        <w:tc>
          <w:tcPr>
            <w:tcW w:type="dxa" w:w="2520"/>
            <w:vAlign w:val="center"/>
            <w:shd w:fill="FFFFFF"/>
            <w:tcMar>
              <w:top w:w="75" w:type="dxa"/>
              <w:bottom w:w="75" w:type="dxa"/>
              <w:left w:w="90" w:type="dxa"/>
              <w:right w:w="90" w:type="dxa"/>
            </w:tcMar>
          </w:tcPr>
          <w:p>
            <w:pPr>
              <w:spacing w:after="0" w:line="245" w:lineRule="auto"/>
            </w:pPr>
            <w:r>
              <w:rPr>
                <w:sz w:val="20"/>
              </w:rPr>
              <w:t>Two budget owners in concrete pilot discussions targeted.</w:t>
            </w:r>
          </w:p>
        </w:tc>
      </w:tr>
    </w:tbl>
    <w:p>
      <w:pPr>
        <w:spacing w:after="0"/>
      </w:pPr>
    </w:p>
    <w:p>
      <w:r>
        <w:t>The study can be reduced or postponed if it displaces customer discovery. Make the reduction before running it and publish the revised design. A completed small transparent study is more useful than a dramatic result with an unclear denominator.</w:t>
      </w:r>
    </w:p>
    <w:p>
      <w:pPr>
        <w:pStyle w:val="Heading1"/>
        <w:pageBreakBefore/>
      </w:pPr>
      <w:r>
        <w:t>Week three connects research to operator needs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800"/>
        <w:gridCol w:w="4464"/>
        <w:gridCol w:w="2520"/>
      </w:tblGrid>
      <w:tr>
        <w:trPr>
          <w:cantSplit/>
          <w:tblHeader/>
        </w:trPr>
        <w:tc>
          <w:tcPr>
            <w:tcW w:type="dxa" w:w="1296"/>
            <w:vAlign w:val="center"/>
            <w:shd w:fill="333333"/>
            <w:tcMar>
              <w:top w:w="75" w:type="dxa"/>
              <w:bottom w:w="75" w:type="dxa"/>
              <w:left w:w="90" w:type="dxa"/>
              <w:right w:w="90" w:type="dxa"/>
            </w:tcMar>
          </w:tcPr>
          <w:p>
            <w:pPr>
              <w:spacing w:after="0" w:line="245" w:lineRule="auto"/>
            </w:pPr>
            <w:r>
              <w:rPr>
                <w:b/>
                <w:color w:val="FFFFFF"/>
                <w:sz w:val="20"/>
              </w:rPr>
              <w:t>Day and date</w:t>
            </w:r>
          </w:p>
        </w:tc>
        <w:tc>
          <w:tcPr>
            <w:tcW w:type="dxa" w:w="1800"/>
            <w:vAlign w:val="center"/>
            <w:shd w:fill="333333"/>
            <w:tcMar>
              <w:top w:w="75" w:type="dxa"/>
              <w:bottom w:w="75" w:type="dxa"/>
              <w:left w:w="90" w:type="dxa"/>
              <w:right w:w="90" w:type="dxa"/>
            </w:tcMar>
          </w:tcPr>
          <w:p>
            <w:pPr>
              <w:spacing w:after="0" w:line="245" w:lineRule="auto"/>
            </w:pPr>
            <w:r>
              <w:rPr>
                <w:b/>
                <w:color w:val="FFFFFF"/>
                <w:sz w:val="20"/>
              </w:rPr>
              <w:t>Publication</w:t>
            </w:r>
          </w:p>
        </w:tc>
        <w:tc>
          <w:tcPr>
            <w:tcW w:type="dxa" w:w="4464"/>
            <w:vAlign w:val="center"/>
            <w:shd w:fill="333333"/>
            <w:tcMar>
              <w:top w:w="75" w:type="dxa"/>
              <w:bottom w:w="75" w:type="dxa"/>
              <w:left w:w="90" w:type="dxa"/>
              <w:right w:w="90" w:type="dxa"/>
            </w:tcMar>
          </w:tcPr>
          <w:p>
            <w:pPr>
              <w:spacing w:after="0" w:line="245" w:lineRule="auto"/>
            </w:pPr>
            <w:r>
              <w:rPr>
                <w:b/>
                <w:color w:val="FFFFFF"/>
                <w:sz w:val="20"/>
              </w:rPr>
              <w:t>Work and proposed owner</w:t>
            </w:r>
          </w:p>
        </w:tc>
        <w:tc>
          <w:tcPr>
            <w:tcW w:type="dxa" w:w="2520"/>
            <w:vAlign w:val="center"/>
            <w:shd w:fill="333333"/>
            <w:tcMar>
              <w:top w:w="75" w:type="dxa"/>
              <w:bottom w:w="75" w:type="dxa"/>
              <w:left w:w="90" w:type="dxa"/>
              <w:right w:w="90" w:type="dxa"/>
            </w:tcMar>
          </w:tcPr>
          <w:p>
            <w:pPr>
              <w:spacing w:after="0" w:line="245" w:lineRule="auto"/>
            </w:pPr>
            <w:r>
              <w:rPr>
                <w:b/>
                <w:color w:val="FFFFFF"/>
                <w:sz w:val="20"/>
              </w:rPr>
              <w:t>Evidence to record</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15 · 27 Sep</w:t>
            </w:r>
          </w:p>
        </w:tc>
        <w:tc>
          <w:tcPr>
            <w:tcW w:type="dxa" w:w="1800"/>
            <w:vAlign w:val="center"/>
            <w:shd w:fill="FFFFFF"/>
            <w:tcMar>
              <w:top w:w="75" w:type="dxa"/>
              <w:bottom w:w="75" w:type="dxa"/>
              <w:left w:w="90" w:type="dxa"/>
              <w:right w:w="90" w:type="dxa"/>
            </w:tcMar>
          </w:tcPr>
          <w:p>
            <w:pPr>
              <w:spacing w:after="0" w:line="245" w:lineRule="auto"/>
            </w:pPr>
            <w:r>
              <w:rPr>
                <w:sz w:val="20"/>
              </w:rPr>
              <w:t>P09 · outside builder</w:t>
            </w:r>
          </w:p>
        </w:tc>
        <w:tc>
          <w:tcPr>
            <w:tcW w:type="dxa" w:w="4464"/>
            <w:vAlign w:val="center"/>
            <w:shd w:fill="FFFFFF"/>
            <w:tcMar>
              <w:top w:w="75" w:type="dxa"/>
              <w:bottom w:w="75" w:type="dxa"/>
              <w:left w:w="90" w:type="dxa"/>
              <w:right w:w="90" w:type="dxa"/>
            </w:tcMar>
          </w:tcPr>
          <w:p>
            <w:pPr>
              <w:spacing w:after="0" w:line="245" w:lineRule="auto"/>
            </w:pPr>
            <w:r>
              <w:rPr>
                <w:sz w:val="20"/>
              </w:rPr>
              <w:t>Team: share a permissioned installation lesson, or use the recruitment fallback.</w:t>
            </w:r>
          </w:p>
        </w:tc>
        <w:tc>
          <w:tcPr>
            <w:tcW w:type="dxa" w:w="2520"/>
            <w:vAlign w:val="center"/>
            <w:shd w:fill="FFFFFF"/>
            <w:tcMar>
              <w:top w:w="75" w:type="dxa"/>
              <w:bottom w:w="75" w:type="dxa"/>
              <w:left w:w="90" w:type="dxa"/>
              <w:right w:w="90" w:type="dxa"/>
            </w:tcMar>
          </w:tcPr>
          <w:p>
            <w:pPr>
              <w:spacing w:after="0" w:line="245" w:lineRule="auto"/>
            </w:pPr>
            <w:r>
              <w:rPr>
                <w:sz w:val="20"/>
              </w:rPr>
              <w:t>Unassisted completions and time to first mock deal.</w:t>
            </w:r>
          </w:p>
        </w:tc>
      </w:tr>
      <w:tr>
        <w:trPr>
          <w:cantSplit/>
        </w:trPr>
        <w:tc>
          <w:tcPr>
            <w:tcW w:type="dxa" w:w="1296"/>
            <w:vAlign w:val="center"/>
            <w:shd w:fill="F3F3F3"/>
            <w:tcMar>
              <w:top w:w="75" w:type="dxa"/>
              <w:bottom w:w="75" w:type="dxa"/>
              <w:left w:w="90" w:type="dxa"/>
              <w:right w:w="90" w:type="dxa"/>
            </w:tcMar>
          </w:tcPr>
          <w:p>
            <w:pPr>
              <w:spacing w:after="0" w:line="245" w:lineRule="auto"/>
            </w:pPr>
            <w:r>
              <w:rPr>
                <w:sz w:val="20"/>
              </w:rPr>
              <w:t>16 · 28 Sep</w:t>
            </w:r>
          </w:p>
        </w:tc>
        <w:tc>
          <w:tcPr>
            <w:tcW w:type="dxa" w:w="1800"/>
            <w:vAlign w:val="center"/>
            <w:shd w:fill="F3F3F3"/>
            <w:tcMar>
              <w:top w:w="75" w:type="dxa"/>
              <w:bottom w:w="75" w:type="dxa"/>
              <w:left w:w="90" w:type="dxa"/>
              <w:right w:w="90" w:type="dxa"/>
            </w:tcMar>
          </w:tcPr>
          <w:p>
            <w:pPr>
              <w:spacing w:after="0" w:line="245" w:lineRule="auto"/>
            </w:pPr>
            <w:r>
              <w:rPr>
                <w:sz w:val="20"/>
              </w:rPr>
              <w:t>Scope paid pilots</w:t>
            </w:r>
          </w:p>
        </w:tc>
        <w:tc>
          <w:tcPr>
            <w:tcW w:type="dxa" w:w="4464"/>
            <w:vAlign w:val="center"/>
            <w:shd w:fill="F3F3F3"/>
            <w:tcMar>
              <w:top w:w="75" w:type="dxa"/>
              <w:bottom w:w="75" w:type="dxa"/>
              <w:left w:w="90" w:type="dxa"/>
              <w:right w:w="90" w:type="dxa"/>
            </w:tcMar>
          </w:tcPr>
          <w:p>
            <w:pPr>
              <w:spacing w:after="0" w:line="245" w:lineRule="auto"/>
            </w:pPr>
            <w:r>
              <w:rPr>
                <w:sz w:val="20"/>
              </w:rPr>
              <w:t>Poulav: agree one supported environment, one workflow, support cap, and deliverables.</w:t>
            </w:r>
          </w:p>
        </w:tc>
        <w:tc>
          <w:tcPr>
            <w:tcW w:type="dxa" w:w="2520"/>
            <w:vAlign w:val="center"/>
            <w:shd w:fill="F3F3F3"/>
            <w:tcMar>
              <w:top w:w="75" w:type="dxa"/>
              <w:bottom w:w="75" w:type="dxa"/>
              <w:left w:w="90" w:type="dxa"/>
              <w:right w:w="90" w:type="dxa"/>
            </w:tcMar>
          </w:tcPr>
          <w:p>
            <w:pPr>
              <w:spacing w:after="0" w:line="245" w:lineRule="auto"/>
            </w:pPr>
            <w:r>
              <w:rPr>
                <w:sz w:val="20"/>
              </w:rPr>
              <w:t>Written scope and payment intent, not vague interest.</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17 · 29 Sep</w:t>
            </w:r>
          </w:p>
        </w:tc>
        <w:tc>
          <w:tcPr>
            <w:tcW w:type="dxa" w:w="1800"/>
            <w:vAlign w:val="center"/>
            <w:shd w:fill="FFFFFF"/>
            <w:tcMar>
              <w:top w:w="75" w:type="dxa"/>
              <w:bottom w:w="75" w:type="dxa"/>
              <w:left w:w="90" w:type="dxa"/>
              <w:right w:w="90" w:type="dxa"/>
            </w:tcMar>
          </w:tcPr>
          <w:p>
            <w:pPr>
              <w:spacing w:after="0" w:line="245" w:lineRule="auto"/>
            </w:pPr>
            <w:r>
              <w:rPr>
                <w:sz w:val="20"/>
              </w:rPr>
              <w:t>P10 · controls discussion</w:t>
            </w:r>
          </w:p>
        </w:tc>
        <w:tc>
          <w:tcPr>
            <w:tcW w:type="dxa" w:w="4464"/>
            <w:vAlign w:val="center"/>
            <w:shd w:fill="FFFFFF"/>
            <w:tcMar>
              <w:top w:w="75" w:type="dxa"/>
              <w:bottom w:w="75" w:type="dxa"/>
              <w:left w:w="90" w:type="dxa"/>
              <w:right w:w="90" w:type="dxa"/>
            </w:tcMar>
          </w:tcPr>
          <w:p>
            <w:pPr>
              <w:spacing w:after="0" w:line="245" w:lineRule="auto"/>
            </w:pPr>
            <w:r>
              <w:rPr>
                <w:sz w:val="20"/>
              </w:rPr>
              <w:t>Team: show a proposed approval screen, clearly labeled. Interview operators about limits and review.</w:t>
            </w:r>
          </w:p>
        </w:tc>
        <w:tc>
          <w:tcPr>
            <w:tcW w:type="dxa" w:w="2520"/>
            <w:vAlign w:val="center"/>
            <w:shd w:fill="FFFFFF"/>
            <w:tcMar>
              <w:top w:w="75" w:type="dxa"/>
              <w:bottom w:w="75" w:type="dxa"/>
              <w:left w:w="90" w:type="dxa"/>
              <w:right w:w="90" w:type="dxa"/>
            </w:tcMar>
          </w:tcPr>
          <w:p>
            <w:pPr>
              <w:spacing w:after="0" w:line="245" w:lineRule="auto"/>
            </w:pPr>
            <w:r>
              <w:rPr>
                <w:sz w:val="20"/>
              </w:rPr>
              <w:t>Specific mandatory controls and who owns them.</w:t>
            </w:r>
          </w:p>
        </w:tc>
      </w:tr>
      <w:tr>
        <w:trPr>
          <w:cantSplit/>
        </w:trPr>
        <w:tc>
          <w:tcPr>
            <w:tcW w:type="dxa" w:w="1296"/>
            <w:vAlign w:val="center"/>
            <w:shd w:fill="F3F3F3"/>
            <w:tcMar>
              <w:top w:w="75" w:type="dxa"/>
              <w:bottom w:w="75" w:type="dxa"/>
              <w:left w:w="90" w:type="dxa"/>
              <w:right w:w="90" w:type="dxa"/>
            </w:tcMar>
          </w:tcPr>
          <w:p>
            <w:pPr>
              <w:spacing w:after="0" w:line="245" w:lineRule="auto"/>
            </w:pPr>
            <w:r>
              <w:rPr>
                <w:sz w:val="20"/>
              </w:rPr>
              <w:t>18 · 30 Sep</w:t>
            </w:r>
          </w:p>
        </w:tc>
        <w:tc>
          <w:tcPr>
            <w:tcW w:type="dxa" w:w="1800"/>
            <w:vAlign w:val="center"/>
            <w:shd w:fill="F3F3F3"/>
            <w:tcMar>
              <w:top w:w="75" w:type="dxa"/>
              <w:bottom w:w="75" w:type="dxa"/>
              <w:left w:w="90" w:type="dxa"/>
              <w:right w:w="90" w:type="dxa"/>
            </w:tcMar>
          </w:tcPr>
          <w:p>
            <w:pPr>
              <w:spacing w:after="0" w:line="245" w:lineRule="auto"/>
            </w:pPr>
            <w:r>
              <w:rPr>
                <w:sz w:val="20"/>
              </w:rPr>
              <w:t>P11 · article two</w:t>
            </w:r>
          </w:p>
        </w:tc>
        <w:tc>
          <w:tcPr>
            <w:tcW w:type="dxa" w:w="4464"/>
            <w:vAlign w:val="center"/>
            <w:shd w:fill="F3F3F3"/>
            <w:tcMar>
              <w:top w:w="75" w:type="dxa"/>
              <w:bottom w:w="75" w:type="dxa"/>
              <w:left w:w="90" w:type="dxa"/>
              <w:right w:w="90" w:type="dxa"/>
            </w:tcMar>
          </w:tcPr>
          <w:p>
            <w:pPr>
              <w:spacing w:after="0" w:line="245" w:lineRule="auto"/>
            </w:pPr>
            <w:r>
              <w:rPr>
                <w:sz w:val="20"/>
              </w:rPr>
              <w:t>Experiment owner: publish the study if ready; otherwise publish methods and limitations.</w:t>
            </w:r>
          </w:p>
        </w:tc>
        <w:tc>
          <w:tcPr>
            <w:tcW w:type="dxa" w:w="2520"/>
            <w:vAlign w:val="center"/>
            <w:shd w:fill="F3F3F3"/>
            <w:tcMar>
              <w:top w:w="75" w:type="dxa"/>
              <w:bottom w:w="75" w:type="dxa"/>
              <w:left w:w="90" w:type="dxa"/>
              <w:right w:w="90" w:type="dxa"/>
            </w:tcMar>
          </w:tcPr>
          <w:p>
            <w:pPr>
              <w:spacing w:after="0" w:line="245" w:lineRule="auto"/>
            </w:pPr>
            <w:r>
              <w:rPr>
                <w:sz w:val="20"/>
              </w:rPr>
              <w:t>Reproductions and real scenarios, not just debate.</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19 · 1 Oct</w:t>
            </w:r>
          </w:p>
        </w:tc>
        <w:tc>
          <w:tcPr>
            <w:tcW w:type="dxa" w:w="1800"/>
            <w:vAlign w:val="center"/>
            <w:shd w:fill="FFFFFF"/>
            <w:tcMar>
              <w:top w:w="75" w:type="dxa"/>
              <w:bottom w:w="75" w:type="dxa"/>
              <w:left w:w="90" w:type="dxa"/>
              <w:right w:w="90" w:type="dxa"/>
            </w:tcMar>
          </w:tcPr>
          <w:p>
            <w:pPr>
              <w:spacing w:after="0" w:line="245" w:lineRule="auto"/>
            </w:pPr>
            <w:r>
              <w:rPr>
                <w:sz w:val="20"/>
              </w:rPr>
              <w:t>Workflow work</w:t>
            </w:r>
          </w:p>
        </w:tc>
        <w:tc>
          <w:tcPr>
            <w:tcW w:type="dxa" w:w="4464"/>
            <w:vAlign w:val="center"/>
            <w:shd w:fill="FFFFFF"/>
            <w:tcMar>
              <w:top w:w="75" w:type="dxa"/>
              <w:bottom w:w="75" w:type="dxa"/>
              <w:left w:w="90" w:type="dxa"/>
              <w:right w:w="90" w:type="dxa"/>
            </w:tcMar>
          </w:tcPr>
          <w:p>
            <w:pPr>
              <w:spacing w:after="0" w:line="245" w:lineRule="auto"/>
            </w:pPr>
            <w:r>
              <w:rPr>
                <w:sz w:val="20"/>
              </w:rPr>
              <w:t>Poulav: deliver an agreed pilot step or record why the customer has not committed.</w:t>
            </w:r>
          </w:p>
        </w:tc>
        <w:tc>
          <w:tcPr>
            <w:tcW w:type="dxa" w:w="2520"/>
            <w:vAlign w:val="center"/>
            <w:shd w:fill="FFFFFF"/>
            <w:tcMar>
              <w:top w:w="75" w:type="dxa"/>
              <w:bottom w:w="75" w:type="dxa"/>
              <w:left w:w="90" w:type="dxa"/>
              <w:right w:w="90" w:type="dxa"/>
            </w:tcMar>
          </w:tcPr>
          <w:p>
            <w:pPr>
              <w:spacing w:after="0" w:line="245" w:lineRule="auto"/>
            </w:pPr>
            <w:r>
              <w:rPr>
                <w:sz w:val="20"/>
              </w:rPr>
              <w:t>Track paid service work separately from product use.</w:t>
            </w:r>
          </w:p>
        </w:tc>
      </w:tr>
      <w:tr>
        <w:trPr>
          <w:cantSplit/>
        </w:trPr>
        <w:tc>
          <w:tcPr>
            <w:tcW w:type="dxa" w:w="1296"/>
            <w:vAlign w:val="center"/>
            <w:shd w:fill="F3F3F3"/>
            <w:tcMar>
              <w:top w:w="75" w:type="dxa"/>
              <w:bottom w:w="75" w:type="dxa"/>
              <w:left w:w="90" w:type="dxa"/>
              <w:right w:w="90" w:type="dxa"/>
            </w:tcMar>
          </w:tcPr>
          <w:p>
            <w:pPr>
              <w:spacing w:after="0" w:line="245" w:lineRule="auto"/>
            </w:pPr>
            <w:r>
              <w:rPr>
                <w:sz w:val="20"/>
              </w:rPr>
              <w:t>20 · 2 Oct</w:t>
            </w:r>
          </w:p>
        </w:tc>
        <w:tc>
          <w:tcPr>
            <w:tcW w:type="dxa" w:w="1800"/>
            <w:vAlign w:val="center"/>
            <w:shd w:fill="F3F3F3"/>
            <w:tcMar>
              <w:top w:w="75" w:type="dxa"/>
              <w:bottom w:w="75" w:type="dxa"/>
              <w:left w:w="90" w:type="dxa"/>
              <w:right w:w="90" w:type="dxa"/>
            </w:tcMar>
          </w:tcPr>
          <w:p>
            <w:pPr>
              <w:spacing w:after="0" w:line="245" w:lineRule="auto"/>
            </w:pPr>
            <w:r>
              <w:rPr>
                <w:sz w:val="20"/>
              </w:rPr>
              <w:t>P12 · rate example</w:t>
            </w:r>
          </w:p>
        </w:tc>
        <w:tc>
          <w:tcPr>
            <w:tcW w:type="dxa" w:w="4464"/>
            <w:vAlign w:val="center"/>
            <w:shd w:fill="F3F3F3"/>
            <w:tcMar>
              <w:top w:w="75" w:type="dxa"/>
              <w:bottom w:w="75" w:type="dxa"/>
              <w:left w:w="90" w:type="dxa"/>
              <w:right w:w="90" w:type="dxa"/>
            </w:tcMar>
          </w:tcPr>
          <w:p>
            <w:pPr>
              <w:spacing w:after="0" w:line="245" w:lineRule="auto"/>
            </w:pPr>
            <w:r>
              <w:rPr>
                <w:sz w:val="20"/>
              </w:rPr>
              <w:t>Team: present the known-supplier scenario as illustrative and invite workflow interviews.</w:t>
            </w:r>
          </w:p>
        </w:tc>
        <w:tc>
          <w:tcPr>
            <w:tcW w:type="dxa" w:w="2520"/>
            <w:vAlign w:val="center"/>
            <w:shd w:fill="F3F3F3"/>
            <w:tcMar>
              <w:top w:w="75" w:type="dxa"/>
              <w:bottom w:w="75" w:type="dxa"/>
              <w:left w:w="90" w:type="dxa"/>
              <w:right w:w="90" w:type="dxa"/>
            </w:tcMar>
          </w:tcPr>
          <w:p>
            <w:pPr>
              <w:spacing w:after="0" w:line="245" w:lineRule="auto"/>
            </w:pPr>
            <w:r>
              <w:rPr>
                <w:sz w:val="20"/>
              </w:rPr>
              <w:t>Buyer conversations where the boundary is acceptable.</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21 · 3 Oct</w:t>
            </w:r>
          </w:p>
        </w:tc>
        <w:tc>
          <w:tcPr>
            <w:tcW w:type="dxa" w:w="1800"/>
            <w:vAlign w:val="center"/>
            <w:shd w:fill="FFFFFF"/>
            <w:tcMar>
              <w:top w:w="75" w:type="dxa"/>
              <w:bottom w:w="75" w:type="dxa"/>
              <w:left w:w="90" w:type="dxa"/>
              <w:right w:w="90" w:type="dxa"/>
            </w:tcMar>
          </w:tcPr>
          <w:p>
            <w:pPr>
              <w:spacing w:after="0" w:line="245" w:lineRule="auto"/>
            </w:pPr>
            <w:r>
              <w:rPr>
                <w:sz w:val="20"/>
              </w:rPr>
              <w:t>Weekly review</w:t>
            </w:r>
          </w:p>
        </w:tc>
        <w:tc>
          <w:tcPr>
            <w:tcW w:type="dxa" w:w="4464"/>
            <w:vAlign w:val="center"/>
            <w:shd w:fill="FFFFFF"/>
            <w:tcMar>
              <w:top w:w="75" w:type="dxa"/>
              <w:bottom w:w="75" w:type="dxa"/>
              <w:left w:w="90" w:type="dxa"/>
              <w:right w:w="90" w:type="dxa"/>
            </w:tcMar>
          </w:tcPr>
          <w:p>
            <w:pPr>
              <w:spacing w:after="0" w:line="245" w:lineRule="auto"/>
            </w:pPr>
            <w:r>
              <w:rPr>
                <w:sz w:val="20"/>
              </w:rPr>
              <w:t>Team: compare confidentiality versus reliability messages and aggregate buyer objections.</w:t>
            </w:r>
          </w:p>
        </w:tc>
        <w:tc>
          <w:tcPr>
            <w:tcW w:type="dxa" w:w="2520"/>
            <w:vAlign w:val="center"/>
            <w:shd w:fill="FFFFFF"/>
            <w:tcMar>
              <w:top w:w="75" w:type="dxa"/>
              <w:bottom w:w="75" w:type="dxa"/>
              <w:left w:w="90" w:type="dxa"/>
              <w:right w:w="90" w:type="dxa"/>
            </w:tcMar>
          </w:tcPr>
          <w:p>
            <w:pPr>
              <w:spacing w:after="0" w:line="245" w:lineRule="auto"/>
            </w:pPr>
            <w:r>
              <w:rPr>
                <w:sz w:val="20"/>
              </w:rPr>
              <w:t>Keep one segment and one next product slice.</w:t>
            </w:r>
          </w:p>
        </w:tc>
      </w:tr>
    </w:tbl>
    <w:p>
      <w:pPr>
        <w:spacing w:after="0"/>
      </w:pPr>
    </w:p>
    <w:p>
      <w:r>
        <w:t>A credible null finding is publishable. If model choices mostly follow explicit instructions, use that to explain operator policy. If no customer wants the workflow, do not treat an engaging agent-behavior discussion as validation of the business.</w:t>
      </w:r>
    </w:p>
    <w:p>
      <w:pPr>
        <w:pStyle w:val="Heading1"/>
        <w:pageBreakBefore/>
      </w:pPr>
      <w:r>
        <w:t>Week four tests repeatability and commercial commitment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800"/>
        <w:gridCol w:w="4464"/>
        <w:gridCol w:w="2520"/>
      </w:tblGrid>
      <w:tr>
        <w:trPr>
          <w:cantSplit/>
          <w:tblHeader/>
        </w:trPr>
        <w:tc>
          <w:tcPr>
            <w:tcW w:type="dxa" w:w="1296"/>
            <w:vAlign w:val="center"/>
            <w:shd w:fill="333333"/>
            <w:tcMar>
              <w:top w:w="75" w:type="dxa"/>
              <w:bottom w:w="75" w:type="dxa"/>
              <w:left w:w="90" w:type="dxa"/>
              <w:right w:w="90" w:type="dxa"/>
            </w:tcMar>
          </w:tcPr>
          <w:p>
            <w:pPr>
              <w:spacing w:after="0" w:line="245" w:lineRule="auto"/>
            </w:pPr>
            <w:r>
              <w:rPr>
                <w:b/>
                <w:color w:val="FFFFFF"/>
                <w:sz w:val="20"/>
              </w:rPr>
              <w:t>Day and date</w:t>
            </w:r>
          </w:p>
        </w:tc>
        <w:tc>
          <w:tcPr>
            <w:tcW w:type="dxa" w:w="1800"/>
            <w:vAlign w:val="center"/>
            <w:shd w:fill="333333"/>
            <w:tcMar>
              <w:top w:w="75" w:type="dxa"/>
              <w:bottom w:w="75" w:type="dxa"/>
              <w:left w:w="90" w:type="dxa"/>
              <w:right w:w="90" w:type="dxa"/>
            </w:tcMar>
          </w:tcPr>
          <w:p>
            <w:pPr>
              <w:spacing w:after="0" w:line="245" w:lineRule="auto"/>
            </w:pPr>
            <w:r>
              <w:rPr>
                <w:b/>
                <w:color w:val="FFFFFF"/>
                <w:sz w:val="20"/>
              </w:rPr>
              <w:t>Publication</w:t>
            </w:r>
          </w:p>
        </w:tc>
        <w:tc>
          <w:tcPr>
            <w:tcW w:type="dxa" w:w="4464"/>
            <w:vAlign w:val="center"/>
            <w:shd w:fill="333333"/>
            <w:tcMar>
              <w:top w:w="75" w:type="dxa"/>
              <w:bottom w:w="75" w:type="dxa"/>
              <w:left w:w="90" w:type="dxa"/>
              <w:right w:w="90" w:type="dxa"/>
            </w:tcMar>
          </w:tcPr>
          <w:p>
            <w:pPr>
              <w:spacing w:after="0" w:line="245" w:lineRule="auto"/>
            </w:pPr>
            <w:r>
              <w:rPr>
                <w:b/>
                <w:color w:val="FFFFFF"/>
                <w:sz w:val="20"/>
              </w:rPr>
              <w:t>Work and proposed owner</w:t>
            </w:r>
          </w:p>
        </w:tc>
        <w:tc>
          <w:tcPr>
            <w:tcW w:type="dxa" w:w="2520"/>
            <w:vAlign w:val="center"/>
            <w:shd w:fill="333333"/>
            <w:tcMar>
              <w:top w:w="75" w:type="dxa"/>
              <w:bottom w:w="75" w:type="dxa"/>
              <w:left w:w="90" w:type="dxa"/>
              <w:right w:w="90" w:type="dxa"/>
            </w:tcMar>
          </w:tcPr>
          <w:p>
            <w:pPr>
              <w:spacing w:after="0" w:line="245" w:lineRule="auto"/>
            </w:pPr>
            <w:r>
              <w:rPr>
                <w:b/>
                <w:color w:val="FFFFFF"/>
                <w:sz w:val="20"/>
              </w:rPr>
              <w:t>Evidence to record</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22 · 4 Oct</w:t>
            </w:r>
          </w:p>
        </w:tc>
        <w:tc>
          <w:tcPr>
            <w:tcW w:type="dxa" w:w="1800"/>
            <w:vAlign w:val="center"/>
            <w:shd w:fill="FFFFFF"/>
            <w:tcMar>
              <w:top w:w="75" w:type="dxa"/>
              <w:bottom w:w="75" w:type="dxa"/>
              <w:left w:w="90" w:type="dxa"/>
              <w:right w:w="90" w:type="dxa"/>
            </w:tcMar>
          </w:tcPr>
          <w:p>
            <w:pPr>
              <w:spacing w:after="0" w:line="245" w:lineRule="auto"/>
            </w:pPr>
            <w:r>
              <w:rPr>
                <w:sz w:val="20"/>
              </w:rPr>
              <w:t>P13 · workflow</w:t>
            </w:r>
          </w:p>
        </w:tc>
        <w:tc>
          <w:tcPr>
            <w:tcW w:type="dxa" w:w="4464"/>
            <w:vAlign w:val="center"/>
            <w:shd w:fill="FFFFFF"/>
            <w:tcMar>
              <w:top w:w="75" w:type="dxa"/>
              <w:bottom w:w="75" w:type="dxa"/>
              <w:left w:w="90" w:type="dxa"/>
              <w:right w:w="90" w:type="dxa"/>
            </w:tcMar>
          </w:tcPr>
          <w:p>
            <w:pPr>
              <w:spacing w:after="0" w:line="245" w:lineRule="auto"/>
            </w:pPr>
            <w:r>
              <w:rPr>
                <w:sz w:val="20"/>
              </w:rPr>
              <w:t>Team: publish a discovery invitation or permissioned workflow case.</w:t>
            </w:r>
          </w:p>
        </w:tc>
        <w:tc>
          <w:tcPr>
            <w:tcW w:type="dxa" w:w="2520"/>
            <w:vAlign w:val="center"/>
            <w:shd w:fill="FFFFFF"/>
            <w:tcMar>
              <w:top w:w="75" w:type="dxa"/>
              <w:bottom w:w="75" w:type="dxa"/>
              <w:left w:w="90" w:type="dxa"/>
              <w:right w:w="90" w:type="dxa"/>
            </w:tcMar>
          </w:tcPr>
          <w:p>
            <w:pPr>
              <w:spacing w:after="0" w:line="245" w:lineRule="auto"/>
            </w:pPr>
            <w:r>
              <w:rPr>
                <w:sz w:val="20"/>
              </w:rPr>
              <w:t>Evidence of repeated pain and one budget owner.</w:t>
            </w:r>
          </w:p>
        </w:tc>
      </w:tr>
      <w:tr>
        <w:trPr>
          <w:cantSplit/>
        </w:trPr>
        <w:tc>
          <w:tcPr>
            <w:tcW w:type="dxa" w:w="1296"/>
            <w:vAlign w:val="center"/>
            <w:shd w:fill="F3F3F3"/>
            <w:tcMar>
              <w:top w:w="75" w:type="dxa"/>
              <w:bottom w:w="75" w:type="dxa"/>
              <w:left w:w="90" w:type="dxa"/>
              <w:right w:w="90" w:type="dxa"/>
            </w:tcMar>
          </w:tcPr>
          <w:p>
            <w:pPr>
              <w:spacing w:after="0" w:line="245" w:lineRule="auto"/>
            </w:pPr>
            <w:r>
              <w:rPr>
                <w:sz w:val="20"/>
              </w:rPr>
              <w:t>23 · 5 Oct</w:t>
            </w:r>
          </w:p>
        </w:tc>
        <w:tc>
          <w:tcPr>
            <w:tcW w:type="dxa" w:w="1800"/>
            <w:vAlign w:val="center"/>
            <w:shd w:fill="F3F3F3"/>
            <w:tcMar>
              <w:top w:w="75" w:type="dxa"/>
              <w:bottom w:w="75" w:type="dxa"/>
              <w:left w:w="90" w:type="dxa"/>
              <w:right w:w="90" w:type="dxa"/>
            </w:tcMar>
          </w:tcPr>
          <w:p>
            <w:pPr>
              <w:spacing w:after="0" w:line="245" w:lineRule="auto"/>
            </w:pPr>
            <w:r>
              <w:rPr>
                <w:sz w:val="20"/>
              </w:rPr>
              <w:t>Pilot follow-through</w:t>
            </w:r>
          </w:p>
        </w:tc>
        <w:tc>
          <w:tcPr>
            <w:tcW w:type="dxa" w:w="4464"/>
            <w:vAlign w:val="center"/>
            <w:shd w:fill="F3F3F3"/>
            <w:tcMar>
              <w:top w:w="75" w:type="dxa"/>
              <w:bottom w:w="75" w:type="dxa"/>
              <w:left w:w="90" w:type="dxa"/>
              <w:right w:w="90" w:type="dxa"/>
            </w:tcMar>
          </w:tcPr>
          <w:p>
            <w:pPr>
              <w:spacing w:after="0" w:line="245" w:lineRule="auto"/>
            </w:pPr>
            <w:r>
              <w:rPr>
                <w:sz w:val="20"/>
              </w:rPr>
              <w:t>Team: run scheduled evaluations and discuss the next use of the same workflow.</w:t>
            </w:r>
          </w:p>
        </w:tc>
        <w:tc>
          <w:tcPr>
            <w:tcW w:type="dxa" w:w="2520"/>
            <w:vAlign w:val="center"/>
            <w:shd w:fill="F3F3F3"/>
            <w:tcMar>
              <w:top w:w="75" w:type="dxa"/>
              <w:bottom w:w="75" w:type="dxa"/>
              <w:left w:w="90" w:type="dxa"/>
              <w:right w:w="90" w:type="dxa"/>
            </w:tcMar>
          </w:tcPr>
          <w:p>
            <w:pPr>
              <w:spacing w:after="0" w:line="245" w:lineRule="auto"/>
            </w:pPr>
            <w:r>
              <w:rPr>
                <w:sz w:val="20"/>
              </w:rPr>
              <w:t>A specific next payment or evaluation date.</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24 · 6 Oct</w:t>
            </w:r>
          </w:p>
        </w:tc>
        <w:tc>
          <w:tcPr>
            <w:tcW w:type="dxa" w:w="1800"/>
            <w:vAlign w:val="center"/>
            <w:shd w:fill="FFFFFF"/>
            <w:tcMar>
              <w:top w:w="75" w:type="dxa"/>
              <w:bottom w:w="75" w:type="dxa"/>
              <w:left w:w="90" w:type="dxa"/>
              <w:right w:w="90" w:type="dxa"/>
            </w:tcMar>
          </w:tcPr>
          <w:p>
            <w:pPr>
              <w:spacing w:after="0" w:line="245" w:lineRule="auto"/>
            </w:pPr>
            <w:r>
              <w:rPr>
                <w:sz w:val="20"/>
              </w:rPr>
              <w:t>P14 · progress</w:t>
            </w:r>
          </w:p>
        </w:tc>
        <w:tc>
          <w:tcPr>
            <w:tcW w:type="dxa" w:w="4464"/>
            <w:vAlign w:val="center"/>
            <w:shd w:fill="FFFFFF"/>
            <w:tcMar>
              <w:top w:w="75" w:type="dxa"/>
              <w:bottom w:w="75" w:type="dxa"/>
              <w:left w:w="90" w:type="dxa"/>
              <w:right w:w="90" w:type="dxa"/>
            </w:tcMar>
          </w:tcPr>
          <w:p>
            <w:pPr>
              <w:spacing w:after="0" w:line="245" w:lineRule="auto"/>
            </w:pPr>
            <w:r>
              <w:rPr>
                <w:sz w:val="20"/>
              </w:rPr>
              <w:t>Poulav: show a tested improvement, or publish the labeled discovery fallback.</w:t>
            </w:r>
          </w:p>
        </w:tc>
        <w:tc>
          <w:tcPr>
            <w:tcW w:type="dxa" w:w="2520"/>
            <w:vAlign w:val="center"/>
            <w:shd w:fill="FFFFFF"/>
            <w:tcMar>
              <w:top w:w="75" w:type="dxa"/>
              <w:bottom w:w="75" w:type="dxa"/>
              <w:left w:w="90" w:type="dxa"/>
              <w:right w:w="90" w:type="dxa"/>
            </w:tcMar>
          </w:tcPr>
          <w:p>
            <w:pPr>
              <w:spacing w:after="0" w:line="245" w:lineRule="auto"/>
            </w:pPr>
            <w:r>
              <w:rPr>
                <w:sz w:val="20"/>
              </w:rPr>
              <w:t>Outside task success before and after, if measured.</w:t>
            </w:r>
          </w:p>
        </w:tc>
      </w:tr>
      <w:tr>
        <w:trPr>
          <w:cantSplit/>
        </w:trPr>
        <w:tc>
          <w:tcPr>
            <w:tcW w:type="dxa" w:w="1296"/>
            <w:vAlign w:val="center"/>
            <w:shd w:fill="F3F3F3"/>
            <w:tcMar>
              <w:top w:w="75" w:type="dxa"/>
              <w:bottom w:w="75" w:type="dxa"/>
              <w:left w:w="90" w:type="dxa"/>
              <w:right w:w="90" w:type="dxa"/>
            </w:tcMar>
          </w:tcPr>
          <w:p>
            <w:pPr>
              <w:spacing w:after="0" w:line="245" w:lineRule="auto"/>
            </w:pPr>
            <w:r>
              <w:rPr>
                <w:sz w:val="20"/>
              </w:rPr>
              <w:t>25 · 7 Oct</w:t>
            </w:r>
          </w:p>
        </w:tc>
        <w:tc>
          <w:tcPr>
            <w:tcW w:type="dxa" w:w="1800"/>
            <w:vAlign w:val="center"/>
            <w:shd w:fill="F3F3F3"/>
            <w:tcMar>
              <w:top w:w="75" w:type="dxa"/>
              <w:bottom w:w="75" w:type="dxa"/>
              <w:left w:w="90" w:type="dxa"/>
              <w:right w:w="90" w:type="dxa"/>
            </w:tcMar>
          </w:tcPr>
          <w:p>
            <w:pPr>
              <w:spacing w:after="0" w:line="245" w:lineRule="auto"/>
            </w:pPr>
            <w:r>
              <w:rPr>
                <w:sz w:val="20"/>
              </w:rPr>
              <w:t>P15 · paid evaluation</w:t>
            </w:r>
          </w:p>
        </w:tc>
        <w:tc>
          <w:tcPr>
            <w:tcW w:type="dxa" w:w="4464"/>
            <w:vAlign w:val="center"/>
            <w:shd w:fill="F3F3F3"/>
            <w:tcMar>
              <w:top w:w="75" w:type="dxa"/>
              <w:bottom w:w="75" w:type="dxa"/>
              <w:left w:w="90" w:type="dxa"/>
              <w:right w:w="90" w:type="dxa"/>
            </w:tcMar>
          </w:tcPr>
          <w:p>
            <w:pPr>
              <w:spacing w:after="0" w:line="245" w:lineRule="auto"/>
            </w:pPr>
            <w:r>
              <w:rPr>
                <w:sz w:val="20"/>
              </w:rPr>
              <w:t>Team: publish the scoped service offer only when delivery capacity is available.</w:t>
            </w:r>
          </w:p>
        </w:tc>
        <w:tc>
          <w:tcPr>
            <w:tcW w:type="dxa" w:w="2520"/>
            <w:vAlign w:val="center"/>
            <w:shd w:fill="F3F3F3"/>
            <w:tcMar>
              <w:top w:w="75" w:type="dxa"/>
              <w:bottom w:w="75" w:type="dxa"/>
              <w:left w:w="90" w:type="dxa"/>
              <w:right w:w="90" w:type="dxa"/>
            </w:tcMar>
          </w:tcPr>
          <w:p>
            <w:pPr>
              <w:spacing w:after="0" w:line="245" w:lineRule="auto"/>
            </w:pPr>
            <w:r>
              <w:rPr>
                <w:sz w:val="20"/>
              </w:rPr>
              <w:t>Qualified inquiries and signed scopes or actual payments.</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26 · 8 Oct</w:t>
            </w:r>
          </w:p>
        </w:tc>
        <w:tc>
          <w:tcPr>
            <w:tcW w:type="dxa" w:w="1800"/>
            <w:vAlign w:val="center"/>
            <w:shd w:fill="FFFFFF"/>
            <w:tcMar>
              <w:top w:w="75" w:type="dxa"/>
              <w:bottom w:w="75" w:type="dxa"/>
              <w:left w:w="90" w:type="dxa"/>
              <w:right w:w="90" w:type="dxa"/>
            </w:tcMar>
          </w:tcPr>
          <w:p>
            <w:pPr>
              <w:spacing w:after="0" w:line="245" w:lineRule="auto"/>
            </w:pPr>
            <w:r>
              <w:rPr>
                <w:sz w:val="20"/>
              </w:rPr>
              <w:t>Commercial calls</w:t>
            </w:r>
          </w:p>
        </w:tc>
        <w:tc>
          <w:tcPr>
            <w:tcW w:type="dxa" w:w="4464"/>
            <w:vAlign w:val="center"/>
            <w:shd w:fill="FFFFFF"/>
            <w:tcMar>
              <w:top w:w="75" w:type="dxa"/>
              <w:bottom w:w="75" w:type="dxa"/>
              <w:left w:w="90" w:type="dxa"/>
              <w:right w:w="90" w:type="dxa"/>
            </w:tcMar>
          </w:tcPr>
          <w:p>
            <w:pPr>
              <w:spacing w:after="0" w:line="245" w:lineRule="auto"/>
            </w:pPr>
            <w:r>
              <w:rPr>
                <w:sz w:val="20"/>
              </w:rPr>
              <w:t>Team: resolve scope, price, setup, and trust objections. Do not promise new features to close every call.</w:t>
            </w:r>
          </w:p>
        </w:tc>
        <w:tc>
          <w:tcPr>
            <w:tcW w:type="dxa" w:w="2520"/>
            <w:vAlign w:val="center"/>
            <w:shd w:fill="FFFFFF"/>
            <w:tcMar>
              <w:top w:w="75" w:type="dxa"/>
              <w:bottom w:w="75" w:type="dxa"/>
              <w:left w:w="90" w:type="dxa"/>
              <w:right w:w="90" w:type="dxa"/>
            </w:tcMar>
          </w:tcPr>
          <w:p>
            <w:pPr>
              <w:spacing w:after="0" w:line="245" w:lineRule="auto"/>
            </w:pPr>
            <w:r>
              <w:rPr>
                <w:sz w:val="20"/>
              </w:rPr>
              <w:t>Customer-specific reasons for accepting or declining.</w:t>
            </w:r>
          </w:p>
        </w:tc>
      </w:tr>
      <w:tr>
        <w:trPr>
          <w:cantSplit/>
        </w:trPr>
        <w:tc>
          <w:tcPr>
            <w:tcW w:type="dxa" w:w="1296"/>
            <w:vAlign w:val="center"/>
            <w:shd w:fill="F3F3F3"/>
            <w:tcMar>
              <w:top w:w="75" w:type="dxa"/>
              <w:bottom w:w="75" w:type="dxa"/>
              <w:left w:w="90" w:type="dxa"/>
              <w:right w:w="90" w:type="dxa"/>
            </w:tcMar>
          </w:tcPr>
          <w:p>
            <w:pPr>
              <w:spacing w:after="0" w:line="245" w:lineRule="auto"/>
            </w:pPr>
            <w:r>
              <w:rPr>
                <w:sz w:val="20"/>
              </w:rPr>
              <w:t>27 · 9 Oct</w:t>
            </w:r>
          </w:p>
        </w:tc>
        <w:tc>
          <w:tcPr>
            <w:tcW w:type="dxa" w:w="1800"/>
            <w:vAlign w:val="center"/>
            <w:shd w:fill="F3F3F3"/>
            <w:tcMar>
              <w:top w:w="75" w:type="dxa"/>
              <w:bottom w:w="75" w:type="dxa"/>
              <w:left w:w="90" w:type="dxa"/>
              <w:right w:w="90" w:type="dxa"/>
            </w:tcMar>
          </w:tcPr>
          <w:p>
            <w:pPr>
              <w:spacing w:after="0" w:line="245" w:lineRule="auto"/>
            </w:pPr>
            <w:r>
              <w:rPr>
                <w:sz w:val="20"/>
              </w:rPr>
              <w:t>P16 · learning report</w:t>
            </w:r>
          </w:p>
        </w:tc>
        <w:tc>
          <w:tcPr>
            <w:tcW w:type="dxa" w:w="4464"/>
            <w:vAlign w:val="center"/>
            <w:shd w:fill="F3F3F3"/>
            <w:tcMar>
              <w:top w:w="75" w:type="dxa"/>
              <w:bottom w:w="75" w:type="dxa"/>
              <w:left w:w="90" w:type="dxa"/>
              <w:right w:w="90" w:type="dxa"/>
            </w:tcMar>
          </w:tcPr>
          <w:p>
            <w:pPr>
              <w:spacing w:after="0" w:line="245" w:lineRule="auto"/>
            </w:pPr>
            <w:r>
              <w:rPr>
                <w:sz w:val="20"/>
              </w:rPr>
              <w:t>Team: publish measured outcomes and the next product decision.</w:t>
            </w:r>
          </w:p>
        </w:tc>
        <w:tc>
          <w:tcPr>
            <w:tcW w:type="dxa" w:w="2520"/>
            <w:vAlign w:val="center"/>
            <w:shd w:fill="F3F3F3"/>
            <w:tcMar>
              <w:top w:w="75" w:type="dxa"/>
              <w:bottom w:w="75" w:type="dxa"/>
              <w:left w:w="90" w:type="dxa"/>
              <w:right w:w="90" w:type="dxa"/>
            </w:tcMar>
          </w:tcPr>
          <w:p>
            <w:pPr>
              <w:spacing w:after="0" w:line="245" w:lineRule="auto"/>
            </w:pPr>
            <w:r>
              <w:rPr>
                <w:sz w:val="20"/>
              </w:rPr>
              <w:t>Useful external scrutiny; clear next action.</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28 · 10 Oct</w:t>
            </w:r>
          </w:p>
        </w:tc>
        <w:tc>
          <w:tcPr>
            <w:tcW w:type="dxa" w:w="1800"/>
            <w:vAlign w:val="center"/>
            <w:shd w:fill="FFFFFF"/>
            <w:tcMar>
              <w:top w:w="75" w:type="dxa"/>
              <w:bottom w:w="75" w:type="dxa"/>
              <w:left w:w="90" w:type="dxa"/>
              <w:right w:w="90" w:type="dxa"/>
            </w:tcMar>
          </w:tcPr>
          <w:p>
            <w:pPr>
              <w:spacing w:after="0" w:line="245" w:lineRule="auto"/>
            </w:pPr>
            <w:r>
              <w:rPr>
                <w:sz w:val="20"/>
              </w:rPr>
              <w:t>Weekly review</w:t>
            </w:r>
          </w:p>
        </w:tc>
        <w:tc>
          <w:tcPr>
            <w:tcW w:type="dxa" w:w="4464"/>
            <w:vAlign w:val="center"/>
            <w:shd w:fill="FFFFFF"/>
            <w:tcMar>
              <w:top w:w="75" w:type="dxa"/>
              <w:bottom w:w="75" w:type="dxa"/>
              <w:left w:w="90" w:type="dxa"/>
              <w:right w:w="90" w:type="dxa"/>
            </w:tcMar>
          </w:tcPr>
          <w:p>
            <w:pPr>
              <w:spacing w:after="0" w:line="245" w:lineRule="auto"/>
            </w:pPr>
            <w:r>
              <w:rPr>
                <w:sz w:val="20"/>
              </w:rPr>
              <w:t>Team: consolidate the month’s post and company-level data. Optional founder reflection.</w:t>
            </w:r>
          </w:p>
        </w:tc>
        <w:tc>
          <w:tcPr>
            <w:tcW w:type="dxa" w:w="2520"/>
            <w:vAlign w:val="center"/>
            <w:shd w:fill="FFFFFF"/>
            <w:tcMar>
              <w:top w:w="75" w:type="dxa"/>
              <w:bottom w:w="75" w:type="dxa"/>
              <w:left w:w="90" w:type="dxa"/>
              <w:right w:w="90" w:type="dxa"/>
            </w:tcMar>
          </w:tcPr>
          <w:p>
            <w:pPr>
              <w:spacing w:after="0" w:line="245" w:lineRule="auto"/>
            </w:pPr>
            <w:r>
              <w:rPr>
                <w:sz w:val="20"/>
              </w:rPr>
              <w:t>Separate content reach, activation, service fees, and MRR.</w:t>
            </w:r>
          </w:p>
        </w:tc>
      </w:tr>
    </w:tbl>
    <w:p>
      <w:pPr>
        <w:spacing w:after="0"/>
      </w:pPr>
    </w:p>
    <w:p>
      <w:r>
        <w:t>A pilot payment is evidence that someone values the agreed evaluation work. Recurring product value requires the same team to use the same workflow again. Record both honestly.</w:t>
      </w:r>
    </w:p>
    <w:p>
      <w:pPr>
        <w:pStyle w:val="Heading1"/>
        <w:pageBreakBefore/>
      </w:pPr>
      <w:r>
        <w:t>Final two days decide what to build next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800"/>
        <w:gridCol w:w="4464"/>
        <w:gridCol w:w="2520"/>
      </w:tblGrid>
      <w:tr>
        <w:trPr>
          <w:cantSplit/>
          <w:tblHeader/>
        </w:trPr>
        <w:tc>
          <w:tcPr>
            <w:tcW w:type="dxa" w:w="1296"/>
            <w:vAlign w:val="center"/>
            <w:shd w:fill="333333"/>
            <w:tcMar>
              <w:top w:w="75" w:type="dxa"/>
              <w:bottom w:w="75" w:type="dxa"/>
              <w:left w:w="90" w:type="dxa"/>
              <w:right w:w="90" w:type="dxa"/>
            </w:tcMar>
          </w:tcPr>
          <w:p>
            <w:pPr>
              <w:spacing w:after="0" w:line="245" w:lineRule="auto"/>
            </w:pPr>
            <w:r>
              <w:rPr>
                <w:b/>
                <w:color w:val="FFFFFF"/>
                <w:sz w:val="20"/>
              </w:rPr>
              <w:t>Day and date</w:t>
            </w:r>
          </w:p>
        </w:tc>
        <w:tc>
          <w:tcPr>
            <w:tcW w:type="dxa" w:w="1800"/>
            <w:vAlign w:val="center"/>
            <w:shd w:fill="333333"/>
            <w:tcMar>
              <w:top w:w="75" w:type="dxa"/>
              <w:bottom w:w="75" w:type="dxa"/>
              <w:left w:w="90" w:type="dxa"/>
              <w:right w:w="90" w:type="dxa"/>
            </w:tcMar>
          </w:tcPr>
          <w:p>
            <w:pPr>
              <w:spacing w:after="0" w:line="245" w:lineRule="auto"/>
            </w:pPr>
            <w:r>
              <w:rPr>
                <w:b/>
                <w:color w:val="FFFFFF"/>
                <w:sz w:val="20"/>
              </w:rPr>
              <w:t>Publication</w:t>
            </w:r>
          </w:p>
        </w:tc>
        <w:tc>
          <w:tcPr>
            <w:tcW w:type="dxa" w:w="4464"/>
            <w:vAlign w:val="center"/>
            <w:shd w:fill="333333"/>
            <w:tcMar>
              <w:top w:w="75" w:type="dxa"/>
              <w:bottom w:w="75" w:type="dxa"/>
              <w:left w:w="90" w:type="dxa"/>
              <w:right w:w="90" w:type="dxa"/>
            </w:tcMar>
          </w:tcPr>
          <w:p>
            <w:pPr>
              <w:spacing w:after="0" w:line="245" w:lineRule="auto"/>
            </w:pPr>
            <w:r>
              <w:rPr>
                <w:b/>
                <w:color w:val="FFFFFF"/>
                <w:sz w:val="20"/>
              </w:rPr>
              <w:t>Work and proposed owner</w:t>
            </w:r>
          </w:p>
        </w:tc>
        <w:tc>
          <w:tcPr>
            <w:tcW w:type="dxa" w:w="2520"/>
            <w:vAlign w:val="center"/>
            <w:shd w:fill="333333"/>
            <w:tcMar>
              <w:top w:w="75" w:type="dxa"/>
              <w:bottom w:w="75" w:type="dxa"/>
              <w:left w:w="90" w:type="dxa"/>
              <w:right w:w="90" w:type="dxa"/>
            </w:tcMar>
          </w:tcPr>
          <w:p>
            <w:pPr>
              <w:spacing w:after="0" w:line="245" w:lineRule="auto"/>
            </w:pPr>
            <w:r>
              <w:rPr>
                <w:b/>
                <w:color w:val="FFFFFF"/>
                <w:sz w:val="20"/>
              </w:rPr>
              <w:t>Evidence to record</w:t>
            </w:r>
          </w:p>
        </w:tc>
      </w:tr>
      <w:tr>
        <w:trPr>
          <w:cantSplit/>
        </w:trPr>
        <w:tc>
          <w:tcPr>
            <w:tcW w:type="dxa" w:w="1296"/>
            <w:vAlign w:val="center"/>
            <w:shd w:fill="FFFFFF"/>
            <w:tcMar>
              <w:top w:w="75" w:type="dxa"/>
              <w:bottom w:w="75" w:type="dxa"/>
              <w:left w:w="90" w:type="dxa"/>
              <w:right w:w="90" w:type="dxa"/>
            </w:tcMar>
          </w:tcPr>
          <w:p>
            <w:pPr>
              <w:spacing w:after="0" w:line="245" w:lineRule="auto"/>
            </w:pPr>
            <w:r>
              <w:rPr>
                <w:sz w:val="20"/>
              </w:rPr>
              <w:t>29 · 11 Oct</w:t>
            </w:r>
          </w:p>
        </w:tc>
        <w:tc>
          <w:tcPr>
            <w:tcW w:type="dxa" w:w="1800"/>
            <w:vAlign w:val="center"/>
            <w:shd w:fill="FFFFFF"/>
            <w:tcMar>
              <w:top w:w="75" w:type="dxa"/>
              <w:bottom w:w="75" w:type="dxa"/>
              <w:left w:w="90" w:type="dxa"/>
              <w:right w:w="90" w:type="dxa"/>
            </w:tcMar>
          </w:tcPr>
          <w:p>
            <w:pPr>
              <w:spacing w:after="0" w:line="245" w:lineRule="auto"/>
            </w:pPr>
            <w:r>
              <w:rPr>
                <w:sz w:val="20"/>
              </w:rPr>
              <w:t>Retention conversations</w:t>
            </w:r>
          </w:p>
        </w:tc>
        <w:tc>
          <w:tcPr>
            <w:tcW w:type="dxa" w:w="4464"/>
            <w:vAlign w:val="center"/>
            <w:shd w:fill="FFFFFF"/>
            <w:tcMar>
              <w:top w:w="75" w:type="dxa"/>
              <w:bottom w:w="75" w:type="dxa"/>
              <w:left w:w="90" w:type="dxa"/>
              <w:right w:w="90" w:type="dxa"/>
            </w:tcMar>
          </w:tcPr>
          <w:p>
            <w:pPr>
              <w:spacing w:after="0" w:line="245" w:lineRule="auto"/>
            </w:pPr>
            <w:r>
              <w:rPr>
                <w:sz w:val="20"/>
              </w:rPr>
              <w:t>Team: ask evaluated companies to repeat the same job; propose $299/month only if recurring value exists.</w:t>
            </w:r>
          </w:p>
        </w:tc>
        <w:tc>
          <w:tcPr>
            <w:tcW w:type="dxa" w:w="2520"/>
            <w:vAlign w:val="center"/>
            <w:shd w:fill="FFFFFF"/>
            <w:tcMar>
              <w:top w:w="75" w:type="dxa"/>
              <w:bottom w:w="75" w:type="dxa"/>
              <w:left w:w="90" w:type="dxa"/>
              <w:right w:w="90" w:type="dxa"/>
            </w:tcMar>
          </w:tcPr>
          <w:p>
            <w:pPr>
              <w:spacing w:after="0" w:line="245" w:lineRule="auto"/>
            </w:pPr>
            <w:r>
              <w:rPr>
                <w:sz w:val="20"/>
              </w:rPr>
              <w:t>Repeat-use commitment and support burden.</w:t>
            </w:r>
          </w:p>
        </w:tc>
      </w:tr>
      <w:tr>
        <w:trPr>
          <w:cantSplit/>
        </w:trPr>
        <w:tc>
          <w:tcPr>
            <w:tcW w:type="dxa" w:w="1296"/>
            <w:vAlign w:val="center"/>
            <w:shd w:fill="F3F3F3"/>
            <w:tcMar>
              <w:top w:w="75" w:type="dxa"/>
              <w:bottom w:w="75" w:type="dxa"/>
              <w:left w:w="90" w:type="dxa"/>
              <w:right w:w="90" w:type="dxa"/>
            </w:tcMar>
          </w:tcPr>
          <w:p>
            <w:pPr>
              <w:spacing w:after="0" w:line="245" w:lineRule="auto"/>
            </w:pPr>
            <w:r>
              <w:rPr>
                <w:sz w:val="20"/>
              </w:rPr>
              <w:t>30 · 12 Oct</w:t>
            </w:r>
          </w:p>
        </w:tc>
        <w:tc>
          <w:tcPr>
            <w:tcW w:type="dxa" w:w="1800"/>
            <w:vAlign w:val="center"/>
            <w:shd w:fill="F3F3F3"/>
            <w:tcMar>
              <w:top w:w="75" w:type="dxa"/>
              <w:bottom w:w="75" w:type="dxa"/>
              <w:left w:w="90" w:type="dxa"/>
              <w:right w:w="90" w:type="dxa"/>
            </w:tcMar>
          </w:tcPr>
          <w:p>
            <w:pPr>
              <w:spacing w:after="0" w:line="245" w:lineRule="auto"/>
            </w:pPr>
            <w:r>
              <w:rPr>
                <w:sz w:val="20"/>
              </w:rPr>
              <w:t>Product decision</w:t>
            </w:r>
          </w:p>
        </w:tc>
        <w:tc>
          <w:tcPr>
            <w:tcW w:type="dxa" w:w="4464"/>
            <w:vAlign w:val="center"/>
            <w:shd w:fill="F3F3F3"/>
            <w:tcMar>
              <w:top w:w="75" w:type="dxa"/>
              <w:bottom w:w="75" w:type="dxa"/>
              <w:left w:w="90" w:type="dxa"/>
              <w:right w:w="90" w:type="dxa"/>
            </w:tcMar>
          </w:tcPr>
          <w:p>
            <w:pPr>
              <w:spacing w:after="0" w:line="245" w:lineRule="auto"/>
            </w:pPr>
            <w:r>
              <w:rPr>
                <w:sz w:val="20"/>
              </w:rPr>
              <w:t>Team: apply the strategy report’s gates. Write a one-page continue, narrow, or stop decision.</w:t>
            </w:r>
          </w:p>
        </w:tc>
        <w:tc>
          <w:tcPr>
            <w:tcW w:type="dxa" w:w="2520"/>
            <w:vAlign w:val="center"/>
            <w:shd w:fill="F3F3F3"/>
            <w:tcMar>
              <w:top w:w="75" w:type="dxa"/>
              <w:bottom w:w="75" w:type="dxa"/>
              <w:left w:w="90" w:type="dxa"/>
              <w:right w:w="90" w:type="dxa"/>
            </w:tcMar>
          </w:tcPr>
          <w:p>
            <w:pPr>
              <w:spacing w:after="0" w:line="245" w:lineRule="auto"/>
            </w:pPr>
            <w:r>
              <w:rPr>
                <w:sz w:val="20"/>
              </w:rPr>
              <w:t>Target: two paid pilots, or one paid plus a documented second purchase process.</w:t>
            </w:r>
          </w:p>
        </w:tc>
      </w:tr>
    </w:tbl>
    <w:p>
      <w:pPr>
        <w:spacing w:after="0"/>
      </w:pPr>
    </w:p>
    <w:p>
      <w:r>
        <w:t>After twenty qualified conversations, no concrete commitment is a reason to revisit the segment or offer. Do not use an additional dashboard feature as the default answer. A specialist integration service may be the viable outcome; a recurring product remains a separate hypothesis.</w:t>
      </w:r>
    </w:p>
    <w:p>
      <w:pPr>
        <w:pStyle w:val="Heading1"/>
        <w:pageBreakBefore/>
      </w:pPr>
      <w:r>
        <w:t>Post drafts</w:t>
      </w:r>
    </w:p>
    <w:p>
      <w:r>
        <w:t>The sixteen drafts below are designed as individual opening posts. URLs appear in full for review; use the same verified destination or the real published asset. X normally shortens links, but review the composer before posting. The first reply can contain method, scope, caveats, and deeper evidence. Keep essential privacy boundaries in the main post or visible asset.</w:t>
      </w:r>
    </w:p>
    <w:p>
      <w:pPr>
        <w:pStyle w:val="Heading2"/>
      </w:pPr>
      <w:r>
        <w:t>P01 · Two frameworks, one settled deal</w:t>
      </w:r>
    </w:p>
    <w:p>
      <w:r>
        <w:t>Publication requirement: Verified result; prepare a readable clip of the recorded run.</w:t>
      </w:r>
    </w:p>
    <w:p>
      <w:r>
        <w:t>Claude Code negotiated with Codex. They settled 2 STRK on Starknet, then disclosed one deal to a third party.</w:t>
      </w:r>
    </w:p>
    <w:p>
      <w:r>
        <w:t>Erebus protects terms and amounts. The channel relationship stays public.</w:t>
      </w:r>
    </w:p>
    <w:p>
      <w:r>
        <w:t>Run the mock: https://github.com/PoulavBhowmick03/Erebus</w:t>
      </w:r>
    </w:p>
    <w:p>
      <w:r>
        <w:t>Asset and follow-through: Use the real run record in the first reply. State that this was an operator-controlled demonstration, not a customer deployment or vendor partnership. Label edited waits. CTA: complete a mock run.</w:t>
      </w:r>
    </w:p>
    <w:p>
      <w:pPr>
        <w:pStyle w:val="Heading2"/>
      </w:pPr>
      <w:r>
        <w:t>P02 · Privacy boundaries</w:t>
      </w:r>
    </w:p>
    <w:p>
      <w:r>
        <w:t>Publication requirement: Verified claims; create the simple comparison graphic.</w:t>
      </w:r>
    </w:p>
    <w:p>
      <w:r>
        <w:t>Private payment terms do not mean invisible counterparties.</w:t>
      </w:r>
    </w:p>
    <w:p>
      <w:r>
        <w:t>Erebus hides deal contents from public observers. Channel relationships and timing remain visible.</w:t>
      </w:r>
    </w:p>
    <w:p>
      <w:r>
        <w:t>Here is what each participant can see: https://github.com/PoulavBhowmick03/Erebus/blob/c7795cd297e26bff71c7b524257b2c0723402d23/docs/privacy-model.md</w:t>
      </w:r>
    </w:p>
    <w:p>
      <w:r>
        <w:t>Asset and follow-through: Graphic: public observer sees relationship and metadata; parties see their deal; authorized reviewer sees the granted deal. Add that the configured pool auditor and write infrastructure have separate access or trust roles. Do not draw a misleading “only two people know” diagram.</w:t>
      </w:r>
    </w:p>
    <w:p>
      <w:pPr>
        <w:pStyle w:val="Heading2"/>
      </w:pPr>
      <w:r>
        <w:t>P03 · The lowest-friction first run</w:t>
      </w:r>
    </w:p>
    <w:p>
      <w:r>
        <w:t>Publication requirement: Verified mock mode; reproduce the current install before recording.</w:t>
      </w:r>
    </w:p>
    <w:p>
      <w:r>
        <w:t>You can try an Erebus agent deal without a wallet, keys, or gas.</w:t>
      </w:r>
    </w:p>
    <w:p>
      <w:r>
        <w:t>Mock mode lets you test the negotiation workflow before touching a chain.</w:t>
      </w:r>
    </w:p>
    <w:p>
      <w:r>
        <w:t>Start here: https://github.com/PoulavBhowmick03/Erebus</w:t>
      </w:r>
    </w:p>
    <w:p>
      <w:r>
        <w:t>Asset and follow-through: Record clean installation and one complete mock deal. Show the exact environment and actual elapsed time. Do not call the browser simulation a live mainnet transaction. Ask for installation blockers.</w:t>
      </w:r>
    </w:p>
    <w:p>
      <w:pPr>
        <w:pStyle w:val="Heading1"/>
        <w:pageBreakBefore/>
      </w:pPr>
      <w:r>
        <w:t>Post drafts continued</w:t>
      </w:r>
    </w:p>
    <w:p>
      <w:pPr>
        <w:pStyle w:val="Heading2"/>
      </w:pPr>
      <w:r>
        <w:t>P04 · One deal, one disclosure</w:t>
      </w:r>
    </w:p>
    <w:p>
      <w:r>
        <w:t>Publication requirement: Verified recorded result; prepare the authorized-review clip.</w:t>
      </w:r>
    </w:p>
    <w:p>
      <w:r>
        <w:t>An auditor may need to inspect one deal, not your whole history.</w:t>
      </w:r>
    </w:p>
    <w:p>
      <w:r>
        <w:t>The Erebus mainnet demo gave a third recipient access to one settled deal, without spending authority.</w:t>
      </w:r>
    </w:p>
    <w:p>
      <w:r>
        <w:t>The run and boundaries: https://github.com/PoulavBhowmick03/Erebus/blob/c7795cd297e26bff71c7b524257b2c0723402d23/docs/runs/2026-09-07-mainnet-2strk-agents.md</w:t>
      </w:r>
    </w:p>
    <w:p>
      <w:r>
        <w:t>Asset and follow-through: Clarify in the companion that this was an authorized third recipient, not an independent security auditor. Expiry does not erase information already read. Distinguish recipient-scoped disclosure from the configured pool auditor.</w:t>
      </w:r>
    </w:p>
    <w:p>
      <w:pPr>
        <w:pStyle w:val="Heading2"/>
      </w:pPr>
      <w:r>
        <w:t>P05 · An uncertain write</w:t>
      </w:r>
    </w:p>
    <w:p>
      <w:r>
        <w:t>Publication requirement: Engineering explanation is supported; reproduce the failure before claiming a new demo.</w:t>
      </w:r>
    </w:p>
    <w:p>
      <w:r>
        <w:t>A payment request timed out. Did the payment fail?</w:t>
      </w:r>
    </w:p>
    <w:p>
      <w:r>
        <w:t>Not necessarily. Blindly submitting a new operation can make the problem worse.</w:t>
      </w:r>
    </w:p>
    <w:p>
      <w:r>
        <w:t>Erebus exposes operation IDs and reconciliation tools. Here is the recovery workflow: https://github.com/PoulavBhowmick03/Erebus</w:t>
      </w:r>
    </w:p>
    <w:p>
      <w:r>
        <w:t>Asset and follow-through: Use a documented or controlled mock failure, with uncertain status clearly labeled. Show how state is checked and the same operation is resumed when appropriate. Never stage a real payment failure just for content.</w:t>
      </w:r>
    </w:p>
    <w:p>
      <w:pPr>
        <w:pStyle w:val="Heading2"/>
      </w:pPr>
      <w:r>
        <w:t>P06 · Article one</w:t>
      </w:r>
    </w:p>
    <w:p>
      <w:r>
        <w:t>Publication requirement: Use the complete article draft below after checking links and technical wording.</w:t>
      </w:r>
    </w:p>
    <w:p>
      <w:r>
        <w:t>What does “private” actually hide?</w:t>
      </w:r>
    </w:p>
    <w:p>
      <w:r>
        <w:t>For Erebus, terms and amounts can be confidential while the channel relationship stays public.</w:t>
      </w:r>
    </w:p>
    <w:p>
      <w:r>
        <w:t>That distinction decides which problems the product can solve.</w:t>
      </w:r>
    </w:p>
    <w:p>
      <w:r>
        <w:t>A practical guide: https://github.com/PoulavBhowmick03/Erebus/blob/c7795cd297e26bff71c7b524257b2c0723402d23/docs/privacy-model.md</w:t>
      </w:r>
    </w:p>
    <w:p>
      <w:r>
        <w:t>Asset and follow-through: Replace the documentation link with the published article URL when available. Keep the privacy model linked inside the article. CTA: bring a workflow where rate confidentiality matters.</w:t>
      </w:r>
    </w:p>
    <w:p>
      <w:pPr>
        <w:pStyle w:val="Heading1"/>
        <w:pageBreakBefore/>
      </w:pPr>
      <w:r>
        <w:t>Post drafts continued</w:t>
      </w:r>
    </w:p>
    <w:p>
      <w:pPr>
        <w:pStyle w:val="Heading2"/>
      </w:pPr>
      <w:r>
        <w:t>P07 · Experiment announcement</w:t>
      </w:r>
    </w:p>
    <w:p>
      <w:r>
        <w:t>Publication requirement: Publish only after the method and harness are available.</w:t>
      </w:r>
    </w:p>
    <w:p>
      <w:r>
        <w:t>Do agents really want privacy?</w:t>
      </w:r>
    </w:p>
    <w:p>
      <w:r>
        <w:t>We are testing tool choices across tasks, instructions, and privacy costs. Public settlement is correct in some cases.</w:t>
      </w:r>
    </w:p>
    <w:p>
      <w:r>
        <w:t>The protocol will be published before the results. What scenario should we include?</w:t>
      </w:r>
    </w:p>
    <w:p>
      <w:r>
        <w:t>Asset and follow-through: If already preregistered, change the third paragraph to “The protocol and harness are here:” and add the real link. Do not announce that ten agents chose privacy unless that exact trial is documented.</w:t>
      </w:r>
    </w:p>
    <w:p>
      <w:pPr>
        <w:pStyle w:val="Heading2"/>
      </w:pPr>
      <w:r>
        <w:t>P08 · The economics question</w:t>
      </w:r>
    </w:p>
    <w:p>
      <w:r>
        <w:t>Publication requirement: Use the dated canary figures in the companion; do not imply current prices.</w:t>
      </w:r>
    </w:p>
    <w:p>
      <w:r>
        <w:t>A private payment has more than one cost.</w:t>
      </w:r>
    </w:p>
    <w:p>
      <w:r>
        <w:t>Funding, negotiation rounds, settlement, proving, and support all matter.</w:t>
      </w:r>
    </w:p>
    <w:p>
      <w:r>
        <w:t>We are separating those costs before positioning Erebus for tiny payments. What size payment would your workflow need?</w:t>
      </w:r>
    </w:p>
    <w:p>
      <w:r>
        <w:t>Asset and follow-through: Attach a dated cost table, separating pool fees from network fees and reusable setup. The historical 0.6 STRK run is not the present marginal cost of every payment. Ask buyers about payment size and latency tolerance.</w:t>
      </w:r>
    </w:p>
    <w:p>
      <w:pPr>
        <w:pStyle w:val="Heading2"/>
      </w:pPr>
      <w:r>
        <w:t>P09 · Outside installation</w:t>
      </w:r>
    </w:p>
    <w:p>
      <w:r>
        <w:t>Publication requirement: Conditional: publish a real, consented result; use the alternative below if unavailable.</w:t>
      </w:r>
    </w:p>
    <w:p>
      <w:r>
        <w:t>The most useful Erebus test this week: an outside developer trying the quickstart while we watched.</w:t>
      </w:r>
    </w:p>
    <w:p>
      <w:r>
        <w:t>We are documenting where they got stuck and what changed.</w:t>
      </w:r>
    </w:p>
    <w:p>
      <w:r>
        <w:t>If you build agents, we would like to watch your first mock run too.</w:t>
      </w:r>
    </w:p>
    <w:p>
      <w:r>
        <w:t>Asset and follow-through: Use only after the session happens. Otherwise publish: “Can a new developer complete an Erebus mock deal without our help? We are looking for three builders to test the quickstart and tell us where it breaks.” Keep people anonymous unless they approve identification.</w:t>
      </w:r>
    </w:p>
    <w:p>
      <w:pPr>
        <w:pStyle w:val="Heading1"/>
        <w:pageBreakBefore/>
      </w:pPr>
      <w:r>
        <w:t>Post drafts continued</w:t>
      </w:r>
    </w:p>
    <w:p>
      <w:pPr>
        <w:pStyle w:val="Heading2"/>
      </w:pPr>
      <w:r>
        <w:t>P10 · Operator controls</w:t>
      </w:r>
    </w:p>
    <w:p>
      <w:r>
        <w:t>Publication requirement: Product-design discussion; do not imply enforcement has shipped.</w:t>
      </w:r>
    </w:p>
    <w:p>
      <w:r>
        <w:t>An agent choosing a payment route is only half the problem.</w:t>
      </w:r>
    </w:p>
    <w:p>
      <w:r>
        <w:t>Who sets its budget? Which counterparties are allowed? When must a human approve?</w:t>
      </w:r>
    </w:p>
    <w:p>
      <w:r>
        <w:t>For an Erebus operator workspace, which control would you need before the first payment?</w:t>
      </w:r>
    </w:p>
    <w:p>
      <w:r>
        <w:t>Asset and follow-through: Label any interface as a proposed design. Talk to operators who actually control funds. If a working enforcement demo is later available, show a denied action and the enforcement boundary.</w:t>
      </w:r>
    </w:p>
    <w:p>
      <w:pPr>
        <w:pStyle w:val="Heading2"/>
      </w:pPr>
      <w:r>
        <w:t>P11 · The privacy study</w:t>
      </w:r>
    </w:p>
    <w:p>
      <w:r>
        <w:t>Publication requirement: Conditional results slot; this draft works as a method article if results are incomplete.</w:t>
      </w:r>
    </w:p>
    <w:p>
      <w:r>
        <w:t>“Agents prefer privacy” can hide several different findings.</w:t>
      </w:r>
    </w:p>
    <w:p>
      <w:r>
        <w:t>Did the model follow an instruction, favor the first tool, avoid a fee, or actually complete the confidential action?</w:t>
      </w:r>
    </w:p>
    <w:p>
      <w:r>
        <w:t>Our study separates those questions. The method and limits are below.</w:t>
      </w:r>
    </w:p>
    <w:p>
      <w:r>
        <w:t>Asset and follow-through: Attach the method article or completed study. Replace the hook with a numeric result only after verifying the denominator, model versions, and scenario. Include failures and public-route cases. If the harness is not published, say “study design” instead of “study.”</w:t>
      </w:r>
    </w:p>
    <w:p>
      <w:pPr>
        <w:pStyle w:val="Heading2"/>
      </w:pPr>
      <w:r>
        <w:t>P12 · A concrete customer problem</w:t>
      </w:r>
    </w:p>
    <w:p>
      <w:r>
        <w:t>Publication requirement: Illustrative example; label the attached scenario as hypothetical.</w:t>
      </w:r>
    </w:p>
    <w:p>
      <w:r>
        <w:t>Your supplier relationship may already be public. Your negotiated rate may still be sensitive.</w:t>
      </w:r>
    </w:p>
    <w:p>
      <w:r>
        <w:t>That is one potential use for Erebus: confidential settlement between known counterparties.</w:t>
      </w:r>
    </w:p>
    <w:p>
      <w:r>
        <w:t>Does this occur in your actual payment workflow?</w:t>
      </w:r>
    </w:p>
    <w:p>
      <w:r>
        <w:t>Asset and follow-through: Use a fictional buyer and service provider, not invented customer logos or savings. Explain that delivery is accepted offchain before payment. CTA: show an anonymized example in a workflow interview.</w:t>
      </w:r>
    </w:p>
    <w:p>
      <w:pPr>
        <w:pStyle w:val="Heading1"/>
        <w:pageBreakBefore/>
      </w:pPr>
      <w:r>
        <w:t>Post drafts continued</w:t>
      </w:r>
    </w:p>
    <w:p>
      <w:pPr>
        <w:pStyle w:val="Heading2"/>
      </w:pPr>
      <w:r>
        <w:t>P13 · Workflow before feature list</w:t>
      </w:r>
    </w:p>
    <w:p>
      <w:r>
        <w:t>Publication requirement: Design-partner discovery; no customer claim required.</w:t>
      </w:r>
    </w:p>
    <w:p>
      <w:r>
        <w:t>Before adding another Erebus feature, we want to understand one real payment workflow.</w:t>
      </w:r>
    </w:p>
    <w:p>
      <w:r>
        <w:t>Who approves it? What must stay confidential? How is it reconciled? What happens if it stalls?</w:t>
      </w:r>
    </w:p>
    <w:p>
      <w:r>
        <w:t>If your team already makes these payments, can we learn from your last one?</w:t>
      </w:r>
    </w:p>
    <w:p>
      <w:r>
        <w:t>Asset and follow-through: If a customer has consented to a case study, replace with observed steps and measured results. Otherwise keep the research invitation. Do not imply an existing customer.</w:t>
      </w:r>
    </w:p>
    <w:p>
      <w:pPr>
        <w:pStyle w:val="Heading2"/>
      </w:pPr>
      <w:r>
        <w:t>P14 · Visible product progress</w:t>
      </w:r>
    </w:p>
    <w:p>
      <w:r>
        <w:t>Publication requirement: Conditional shipping slot; publish only a tested change.</w:t>
      </w:r>
    </w:p>
    <w:p>
      <w:r>
        <w:t>This week’s Erebus update should make one thing easier: completing your first deal.</w:t>
      </w:r>
    </w:p>
    <w:p>
      <w:r>
        <w:t>We are using outside setup sessions to choose what to fix next.</w:t>
      </w:r>
    </w:p>
    <w:p>
      <w:r>
        <w:t>Which step is stopping you: install, funding, counterparties, or understanding the privacy boundary?</w:t>
      </w:r>
    </w:p>
    <w:p>
      <w:r>
        <w:t>Asset and follow-through: This draft is a discovery fallback. For a shipped change, say exactly what changed, show before/after using the same task, and link the release. Avoid promising an easier experience without evidence.</w:t>
      </w:r>
    </w:p>
    <w:p>
      <w:pPr>
        <w:pStyle w:val="Heading2"/>
      </w:pPr>
      <w:r>
        <w:t>P15 · A commercial invitation</w:t>
      </w:r>
    </w:p>
    <w:p>
      <w:r>
        <w:t>Publication requirement: Publish once the evaluation scope and capacity are confirmed.</w:t>
      </w:r>
    </w:p>
    <w:p>
      <w:r>
        <w:t>We are opening two Erebus evaluation slots for teams with a real confidential-payment workflow.</w:t>
      </w:r>
    </w:p>
    <w:p>
      <w:r>
        <w:t>Fixed scope: workflow review, guided integration, and a go/no-go report.</w:t>
      </w:r>
    </w:p>
    <w:p>
      <w:r>
        <w:t>Proposed fee: $750. Experimental software; no production-readiness promise. Interested?</w:t>
      </w:r>
    </w:p>
    <w:p>
      <w:r>
        <w:t>Asset and follow-through: Use the pilot offer card below. Explain costs and deliverables in the first conversation. If there is no capacity for two evaluations, lower the number. This is a proposed service offer, not a software feature announcement.</w:t>
      </w:r>
    </w:p>
    <w:p>
      <w:pPr>
        <w:pStyle w:val="Heading1"/>
        <w:pageBreakBefore/>
      </w:pPr>
      <w:r>
        <w:t>Post drafts continued</w:t>
      </w:r>
    </w:p>
    <w:p>
      <w:pPr>
        <w:pStyle w:val="Heading2"/>
      </w:pPr>
      <w:r>
        <w:t>P16 · Month-one learning</w:t>
      </w:r>
    </w:p>
    <w:p>
      <w:r>
        <w:t>Publication requirement: Publish only with actual observations; no numeric claims required.</w:t>
      </w:r>
    </w:p>
    <w:p>
      <w:r>
        <w:t>A month after launching Erebus, these are the questions that matter most to us:</w:t>
      </w:r>
    </w:p>
    <w:p>
      <w:r>
        <w:t>Can an outside team run it? Does the job repeat? Does someone value it enough to pay?</w:t>
      </w:r>
    </w:p>
    <w:p>
      <w:r>
        <w:t>We are sharing what we learned, including the assumptions that did not survive.</w:t>
      </w:r>
    </w:p>
    <w:p>
      <w:r>
        <w:t>Asset and follow-through: Attach real results and distinguish visitors, outside mock runs, pilot fees, recurring revenue, and team demos. If no one paid, say so directly. End with the next narrow product decision.</w:t>
      </w:r>
    </w:p>
    <w:p>
      <w:pPr>
        <w:pStyle w:val="Heading1"/>
        <w:pageBreakBefore/>
      </w:pPr>
      <w:r>
        <w:t>Video one shows a settled deal</w:t>
      </w:r>
    </w:p>
    <w:p>
      <w:r>
        <w:t>Purpose: turn the existing cross-framework record into a clear, verifiable follow-up to the launch. Target length is 35 to 45 seconds, selected for clarity and production effort, not a claimed organic ranking advantage. The source is the recorded 7 September run; do not present it as a new customer transaction.</w:t>
      </w:r>
      <w:r>
        <w:rPr>
          <w:vertAlign w:val="superscript"/>
        </w:rPr>
        <w:footnoteReference w:id="2"/>
      </w: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464"/>
        <w:gridCol w:w="4464"/>
      </w:tblGrid>
      <w:tr>
        <w:trPr>
          <w:cantSplit/>
          <w:tblHeader/>
        </w:trPr>
        <w:tc>
          <w:tcPr>
            <w:tcW w:type="dxa" w:w="1152"/>
            <w:vAlign w:val="center"/>
            <w:shd w:fill="333333"/>
            <w:tcMar>
              <w:top w:w="75" w:type="dxa"/>
              <w:bottom w:w="75" w:type="dxa"/>
              <w:left w:w="90" w:type="dxa"/>
              <w:right w:w="90" w:type="dxa"/>
            </w:tcMar>
          </w:tcPr>
          <w:p>
            <w:pPr>
              <w:spacing w:after="0" w:line="245" w:lineRule="auto"/>
            </w:pPr>
            <w:r>
              <w:rPr>
                <w:b/>
                <w:color w:val="FFFFFF"/>
                <w:sz w:val="20"/>
              </w:rPr>
              <w:t>Time</w:t>
            </w:r>
          </w:p>
        </w:tc>
        <w:tc>
          <w:tcPr>
            <w:tcW w:type="dxa" w:w="4464"/>
            <w:vAlign w:val="center"/>
            <w:shd w:fill="333333"/>
            <w:tcMar>
              <w:top w:w="75" w:type="dxa"/>
              <w:bottom w:w="75" w:type="dxa"/>
              <w:left w:w="90" w:type="dxa"/>
              <w:right w:w="90" w:type="dxa"/>
            </w:tcMar>
          </w:tcPr>
          <w:p>
            <w:pPr>
              <w:spacing w:after="0" w:line="245" w:lineRule="auto"/>
            </w:pPr>
            <w:r>
              <w:rPr>
                <w:b/>
                <w:color w:val="FFFFFF"/>
                <w:sz w:val="20"/>
              </w:rPr>
              <w:t>Picture</w:t>
            </w:r>
          </w:p>
        </w:tc>
        <w:tc>
          <w:tcPr>
            <w:tcW w:type="dxa" w:w="4464"/>
            <w:vAlign w:val="center"/>
            <w:shd w:fill="333333"/>
            <w:tcMar>
              <w:top w:w="75" w:type="dxa"/>
              <w:bottom w:w="75" w:type="dxa"/>
              <w:left w:w="90" w:type="dxa"/>
              <w:right w:w="90" w:type="dxa"/>
            </w:tcMar>
          </w:tcPr>
          <w:p>
            <w:pPr>
              <w:spacing w:after="0" w:line="245" w:lineRule="auto"/>
            </w:pPr>
            <w:r>
              <w:rPr>
                <w:b/>
                <w:color w:val="FFFFFF"/>
                <w:sz w:val="20"/>
              </w:rPr>
              <w:t>Suggested voice or on-screen line</w:t>
            </w:r>
          </w:p>
        </w:tc>
      </w:tr>
      <w:tr>
        <w:trPr>
          <w:cantSplit/>
        </w:trPr>
        <w:tc>
          <w:tcPr>
            <w:tcW w:type="dxa" w:w="1152"/>
            <w:vAlign w:val="center"/>
            <w:shd w:fill="FFFFFF"/>
            <w:tcMar>
              <w:top w:w="75" w:type="dxa"/>
              <w:bottom w:w="75" w:type="dxa"/>
              <w:left w:w="90" w:type="dxa"/>
              <w:right w:w="90" w:type="dxa"/>
            </w:tcMar>
          </w:tcPr>
          <w:p>
            <w:pPr>
              <w:spacing w:after="0" w:line="245" w:lineRule="auto"/>
            </w:pPr>
            <w:r>
              <w:rPr>
                <w:sz w:val="20"/>
              </w:rPr>
              <w:t>0–4 sec</w:t>
            </w:r>
          </w:p>
        </w:tc>
        <w:tc>
          <w:tcPr>
            <w:tcW w:type="dxa" w:w="4464"/>
            <w:vAlign w:val="center"/>
            <w:shd w:fill="FFFFFF"/>
            <w:tcMar>
              <w:top w:w="75" w:type="dxa"/>
              <w:bottom w:w="75" w:type="dxa"/>
              <w:left w:w="90" w:type="dxa"/>
              <w:right w:w="90" w:type="dxa"/>
            </w:tcMar>
          </w:tcPr>
          <w:p>
            <w:pPr>
              <w:spacing w:after="0" w:line="245" w:lineRule="auto"/>
            </w:pPr>
            <w:r>
              <w:rPr>
                <w:sz w:val="20"/>
              </w:rPr>
              <w:t>Result first: payer, payee, 2 STRK settled.</w:t>
            </w:r>
          </w:p>
        </w:tc>
        <w:tc>
          <w:tcPr>
            <w:tcW w:type="dxa" w:w="4464"/>
            <w:vAlign w:val="center"/>
            <w:shd w:fill="FFFFFF"/>
            <w:tcMar>
              <w:top w:w="75" w:type="dxa"/>
              <w:bottom w:w="75" w:type="dxa"/>
              <w:left w:w="90" w:type="dxa"/>
              <w:right w:w="90" w:type="dxa"/>
            </w:tcMar>
          </w:tcPr>
          <w:p>
            <w:pPr>
              <w:spacing w:after="0" w:line="245" w:lineRule="auto"/>
            </w:pPr>
            <w:r>
              <w:rPr>
                <w:sz w:val="20"/>
              </w:rPr>
              <w:t>“Claude Code and Codex negotiated a deal and settled 2 STRK on Starknet.”</w:t>
            </w:r>
          </w:p>
        </w:tc>
      </w:tr>
      <w:tr>
        <w:trPr>
          <w:cantSplit/>
        </w:trPr>
        <w:tc>
          <w:tcPr>
            <w:tcW w:type="dxa" w:w="1152"/>
            <w:vAlign w:val="center"/>
            <w:shd w:fill="F3F3F3"/>
            <w:tcMar>
              <w:top w:w="75" w:type="dxa"/>
              <w:bottom w:w="75" w:type="dxa"/>
              <w:left w:w="90" w:type="dxa"/>
              <w:right w:w="90" w:type="dxa"/>
            </w:tcMar>
          </w:tcPr>
          <w:p>
            <w:pPr>
              <w:spacing w:after="0" w:line="245" w:lineRule="auto"/>
            </w:pPr>
            <w:r>
              <w:rPr>
                <w:sz w:val="20"/>
              </w:rPr>
              <w:t>4–12 sec</w:t>
            </w:r>
          </w:p>
        </w:tc>
        <w:tc>
          <w:tcPr>
            <w:tcW w:type="dxa" w:w="4464"/>
            <w:vAlign w:val="center"/>
            <w:shd w:fill="F3F3F3"/>
            <w:tcMar>
              <w:top w:w="75" w:type="dxa"/>
              <w:bottom w:w="75" w:type="dxa"/>
              <w:left w:w="90" w:type="dxa"/>
              <w:right w:w="90" w:type="dxa"/>
            </w:tcMar>
          </w:tcPr>
          <w:p>
            <w:pPr>
              <w:spacing w:after="0" w:line="245" w:lineRule="auto"/>
            </w:pPr>
            <w:r>
              <w:rPr>
                <w:sz w:val="20"/>
              </w:rPr>
              <w:t>Readable offer and counteroffer from the recorded run.</w:t>
            </w:r>
          </w:p>
        </w:tc>
        <w:tc>
          <w:tcPr>
            <w:tcW w:type="dxa" w:w="4464"/>
            <w:vAlign w:val="center"/>
            <w:shd w:fill="F3F3F3"/>
            <w:tcMar>
              <w:top w:w="75" w:type="dxa"/>
              <w:bottom w:w="75" w:type="dxa"/>
              <w:left w:w="90" w:type="dxa"/>
              <w:right w:w="90" w:type="dxa"/>
            </w:tcMar>
          </w:tcPr>
          <w:p>
            <w:pPr>
              <w:spacing w:after="0" w:line="245" w:lineRule="auto"/>
            </w:pPr>
            <w:r>
              <w:rPr>
                <w:sz w:val="20"/>
              </w:rPr>
              <w:t>“The payer offered 1.6. The payee countered at 2.”</w:t>
            </w:r>
          </w:p>
        </w:tc>
      </w:tr>
      <w:tr>
        <w:trPr>
          <w:cantSplit/>
        </w:trPr>
        <w:tc>
          <w:tcPr>
            <w:tcW w:type="dxa" w:w="1152"/>
            <w:vAlign w:val="center"/>
            <w:shd w:fill="FFFFFF"/>
            <w:tcMar>
              <w:top w:w="75" w:type="dxa"/>
              <w:bottom w:w="75" w:type="dxa"/>
              <w:left w:w="90" w:type="dxa"/>
              <w:right w:w="90" w:type="dxa"/>
            </w:tcMar>
          </w:tcPr>
          <w:p>
            <w:pPr>
              <w:spacing w:after="0" w:line="245" w:lineRule="auto"/>
            </w:pPr>
            <w:r>
              <w:rPr>
                <w:sz w:val="20"/>
              </w:rPr>
              <w:t>12–21 sec</w:t>
            </w:r>
          </w:p>
        </w:tc>
        <w:tc>
          <w:tcPr>
            <w:tcW w:type="dxa" w:w="4464"/>
            <w:vAlign w:val="center"/>
            <w:shd w:fill="FFFFFF"/>
            <w:tcMar>
              <w:top w:w="75" w:type="dxa"/>
              <w:bottom w:w="75" w:type="dxa"/>
              <w:left w:w="90" w:type="dxa"/>
              <w:right w:w="90" w:type="dxa"/>
            </w:tcMar>
          </w:tcPr>
          <w:p>
            <w:pPr>
              <w:spacing w:after="0" w:line="245" w:lineRule="auto"/>
            </w:pPr>
            <w:r>
              <w:rPr>
                <w:sz w:val="20"/>
              </w:rPr>
              <w:t>Acceptance and verified settlement result.</w:t>
            </w:r>
          </w:p>
        </w:tc>
        <w:tc>
          <w:tcPr>
            <w:tcW w:type="dxa" w:w="4464"/>
            <w:vAlign w:val="center"/>
            <w:shd w:fill="FFFFFF"/>
            <w:tcMar>
              <w:top w:w="75" w:type="dxa"/>
              <w:bottom w:w="75" w:type="dxa"/>
              <w:left w:w="90" w:type="dxa"/>
              <w:right w:w="90" w:type="dxa"/>
            </w:tcMar>
          </w:tcPr>
          <w:p>
            <w:pPr>
              <w:spacing w:after="0" w:line="245" w:lineRule="auto"/>
            </w:pPr>
            <w:r>
              <w:rPr>
                <w:sz w:val="20"/>
              </w:rPr>
              <w:t>“The accepted deal settled through Erebus.”</w:t>
            </w:r>
          </w:p>
        </w:tc>
      </w:tr>
      <w:tr>
        <w:trPr>
          <w:cantSplit/>
        </w:trPr>
        <w:tc>
          <w:tcPr>
            <w:tcW w:type="dxa" w:w="1152"/>
            <w:vAlign w:val="center"/>
            <w:shd w:fill="F3F3F3"/>
            <w:tcMar>
              <w:top w:w="75" w:type="dxa"/>
              <w:bottom w:w="75" w:type="dxa"/>
              <w:left w:w="90" w:type="dxa"/>
              <w:right w:w="90" w:type="dxa"/>
            </w:tcMar>
          </w:tcPr>
          <w:p>
            <w:pPr>
              <w:spacing w:after="0" w:line="245" w:lineRule="auto"/>
            </w:pPr>
            <w:r>
              <w:rPr>
                <w:sz w:val="20"/>
              </w:rPr>
              <w:t>21–30 sec</w:t>
            </w:r>
          </w:p>
        </w:tc>
        <w:tc>
          <w:tcPr>
            <w:tcW w:type="dxa" w:w="4464"/>
            <w:vAlign w:val="center"/>
            <w:shd w:fill="F3F3F3"/>
            <w:tcMar>
              <w:top w:w="75" w:type="dxa"/>
              <w:bottom w:w="75" w:type="dxa"/>
              <w:left w:w="90" w:type="dxa"/>
              <w:right w:w="90" w:type="dxa"/>
            </w:tcMar>
          </w:tcPr>
          <w:p>
            <w:pPr>
              <w:spacing w:after="0" w:line="245" w:lineRule="auto"/>
            </w:pPr>
            <w:r>
              <w:rPr>
                <w:sz w:val="20"/>
              </w:rPr>
              <w:t>Third recipient opens one granted deal.</w:t>
            </w:r>
          </w:p>
        </w:tc>
        <w:tc>
          <w:tcPr>
            <w:tcW w:type="dxa" w:w="4464"/>
            <w:vAlign w:val="center"/>
            <w:shd w:fill="F3F3F3"/>
            <w:tcMar>
              <w:top w:w="75" w:type="dxa"/>
              <w:bottom w:w="75" w:type="dxa"/>
              <w:left w:w="90" w:type="dxa"/>
              <w:right w:w="90" w:type="dxa"/>
            </w:tcMar>
          </w:tcPr>
          <w:p>
            <w:pPr>
              <w:spacing w:after="0" w:line="245" w:lineRule="auto"/>
            </w:pPr>
            <w:r>
              <w:rPr>
                <w:sz w:val="20"/>
              </w:rPr>
              <w:t>“A separate recipient could inspect this deal through scoped disclosure.”</w:t>
            </w:r>
          </w:p>
        </w:tc>
      </w:tr>
      <w:tr>
        <w:trPr>
          <w:cantSplit/>
        </w:trPr>
        <w:tc>
          <w:tcPr>
            <w:tcW w:type="dxa" w:w="1152"/>
            <w:vAlign w:val="center"/>
            <w:shd w:fill="FFFFFF"/>
            <w:tcMar>
              <w:top w:w="75" w:type="dxa"/>
              <w:bottom w:w="75" w:type="dxa"/>
              <w:left w:w="90" w:type="dxa"/>
              <w:right w:w="90" w:type="dxa"/>
            </w:tcMar>
          </w:tcPr>
          <w:p>
            <w:pPr>
              <w:spacing w:after="0" w:line="245" w:lineRule="auto"/>
            </w:pPr>
            <w:r>
              <w:rPr>
                <w:sz w:val="20"/>
              </w:rPr>
              <w:t>30–37 sec</w:t>
            </w:r>
          </w:p>
        </w:tc>
        <w:tc>
          <w:tcPr>
            <w:tcW w:type="dxa" w:w="4464"/>
            <w:vAlign w:val="center"/>
            <w:shd w:fill="FFFFFF"/>
            <w:tcMar>
              <w:top w:w="75" w:type="dxa"/>
              <w:bottom w:w="75" w:type="dxa"/>
              <w:left w:w="90" w:type="dxa"/>
              <w:right w:w="90" w:type="dxa"/>
            </w:tcMar>
          </w:tcPr>
          <w:p>
            <w:pPr>
              <w:spacing w:after="0" w:line="245" w:lineRule="auto"/>
            </w:pPr>
            <w:r>
              <w:rPr>
                <w:sz w:val="20"/>
              </w:rPr>
              <w:t>Boundary card with plain text.</w:t>
            </w:r>
          </w:p>
        </w:tc>
        <w:tc>
          <w:tcPr>
            <w:tcW w:type="dxa" w:w="4464"/>
            <w:vAlign w:val="center"/>
            <w:shd w:fill="FFFFFF"/>
            <w:tcMar>
              <w:top w:w="75" w:type="dxa"/>
              <w:bottom w:w="75" w:type="dxa"/>
              <w:left w:w="90" w:type="dxa"/>
              <w:right w:w="90" w:type="dxa"/>
            </w:tcMar>
          </w:tcPr>
          <w:p>
            <w:pPr>
              <w:spacing w:after="0" w:line="245" w:lineRule="auto"/>
            </w:pPr>
            <w:r>
              <w:rPr>
                <w:sz w:val="20"/>
              </w:rPr>
              <w:t>“Terms and amounts are protected. The channel relationship and timing remain public.”</w:t>
            </w:r>
          </w:p>
        </w:tc>
      </w:tr>
      <w:tr>
        <w:trPr>
          <w:cantSplit/>
        </w:trPr>
        <w:tc>
          <w:tcPr>
            <w:tcW w:type="dxa" w:w="1152"/>
            <w:vAlign w:val="center"/>
            <w:shd w:fill="F3F3F3"/>
            <w:tcMar>
              <w:top w:w="75" w:type="dxa"/>
              <w:bottom w:w="75" w:type="dxa"/>
              <w:left w:w="90" w:type="dxa"/>
              <w:right w:w="90" w:type="dxa"/>
            </w:tcMar>
          </w:tcPr>
          <w:p>
            <w:pPr>
              <w:spacing w:after="0" w:line="245" w:lineRule="auto"/>
            </w:pPr>
            <w:r>
              <w:rPr>
                <w:sz w:val="20"/>
              </w:rPr>
              <w:t>37–43 sec</w:t>
            </w:r>
          </w:p>
        </w:tc>
        <w:tc>
          <w:tcPr>
            <w:tcW w:type="dxa" w:w="4464"/>
            <w:vAlign w:val="center"/>
            <w:shd w:fill="F3F3F3"/>
            <w:tcMar>
              <w:top w:w="75" w:type="dxa"/>
              <w:bottom w:w="75" w:type="dxa"/>
              <w:left w:w="90" w:type="dxa"/>
              <w:right w:w="90" w:type="dxa"/>
            </w:tcMar>
          </w:tcPr>
          <w:p>
            <w:pPr>
              <w:spacing w:after="0" w:line="245" w:lineRule="auto"/>
            </w:pPr>
            <w:r>
              <w:rPr>
                <w:sz w:val="20"/>
              </w:rPr>
              <w:t>Mock-start destination and experimental label.</w:t>
            </w:r>
          </w:p>
        </w:tc>
        <w:tc>
          <w:tcPr>
            <w:tcW w:type="dxa" w:w="4464"/>
            <w:vAlign w:val="center"/>
            <w:shd w:fill="F3F3F3"/>
            <w:tcMar>
              <w:top w:w="75" w:type="dxa"/>
              <w:bottom w:w="75" w:type="dxa"/>
              <w:left w:w="90" w:type="dxa"/>
              <w:right w:w="90" w:type="dxa"/>
            </w:tcMar>
          </w:tcPr>
          <w:p>
            <w:pPr>
              <w:spacing w:after="0" w:line="245" w:lineRule="auto"/>
            </w:pPr>
            <w:r>
              <w:rPr>
                <w:sz w:val="20"/>
              </w:rPr>
              <w:t>“Try a mock deal without funds. Evidence and current limitations are linked.”</w:t>
            </w:r>
          </w:p>
        </w:tc>
      </w:tr>
    </w:tbl>
    <w:p>
      <w:pPr>
        <w:spacing w:after="0"/>
      </w:pPr>
    </w:p>
    <w:p>
      <w:r>
        <w:t>Use actual records, large type, and captions. Cut dead time with an “edited for length” label; never let a 40-second edit imply a 40-second full transaction. Remove local secrets and private operator paths. Do not use company logos in a way that suggests a partnership.</w:t>
      </w:r>
    </w:p>
    <w:p>
      <w:pPr>
        <w:pStyle w:val="Heading2"/>
      </w:pPr>
      <w:r>
        <w:t>Video two shows one deal through four views</w:t>
      </w:r>
    </w:p>
    <w:p>
      <w:r>
        <w:t>Use 30 to 45 seconds: public observer, payer, payee, authorized recipient. For each view, show one fact visible and one fact outside scope. Include a companion diagram explaining the configured auditor and prover/RPC trust roles. A four-view storytelling device is not a complete threat model.</w:t>
      </w:r>
      <w:r>
        <w:rPr>
          <w:vertAlign w:val="superscript"/>
        </w:rPr>
        <w:footnoteReference w:id="3"/>
      </w:r>
      <w:r/>
    </w:p>
    <w:p>
      <w:pPr>
        <w:pStyle w:val="Heading2"/>
      </w:pPr>
      <w:r>
        <w:t>Video three shows first use or recovery</w:t>
      </w:r>
    </w:p>
    <w:p>
      <w:r>
        <w:t>Use a 60 to 90 second walkthrough for builders. Label the environment as mock, testnet, or mainnet. Show installation, the first meaningful command, the result, and the evidence of success. For a recovery video, explicitly show uncertain state followed by reconciliation. Keep the complete commands in a linked guide. Do not invent a measured setup time.</w:t>
      </w:r>
    </w:p>
    <w:p>
      <w:pPr>
        <w:pStyle w:val="Heading1"/>
        <w:pageBreakBefore/>
      </w:pPr>
      <w:r>
        <w:t>Article one draft</w:t>
      </w:r>
    </w:p>
    <w:p>
      <w:pPr>
        <w:pStyle w:val="Heading2"/>
      </w:pPr>
      <w:r>
        <w:t>What Erebus keeps private</w:t>
      </w:r>
    </w:p>
    <w:p>
      <w:r>
        <w:t>Publication note: the following is a complete first draft grounded in the current documentation. Recheck against the release used for publication and add the actual demo asset. It does not claim production readiness or customer outcomes.</w:t>
      </w:r>
    </w:p>
    <w:p>
      <w:r>
        <w:t>An agent pays a supplier. The relationship may already be known. The negotiated price may still be commercially sensitive. That is a more precise starting point for payment privacy than asking whether the entire transaction is “private.”</w:t>
      </w:r>
    </w:p>
    <w:p>
      <w:r>
        <w:t>Erebus combines confidential negotiation with shielded settlement for agent workflows on Starknet. It also supports disclosure scoped to an individual deal. The important boundary is that Erebus protects deal contents while channel relationships and transaction metadata remain visible.</w:t>
      </w:r>
      <w:r>
        <w:rPr>
          <w:vertAlign w:val="superscript"/>
        </w:rPr>
        <w:footnoteReference w:id="4"/>
      </w:r>
      <w:r/>
    </w:p>
    <w:p>
      <w:pPr>
        <w:pStyle w:val="Heading2"/>
      </w:pPr>
      <w:r>
        <w:t>Different observers see different things</w:t>
      </w:r>
    </w:p>
    <w:p>
      <w:r>
        <w:t>A public observer can see that a channel was opened with a counterparty, the submitting account, and transaction timing. Funding movements and action patterns can also reveal information. The current design should not be described as hiding who is connected to whom.</w:t>
      </w:r>
    </w:p>
    <w:p>
      <w:r>
        <w:t>The parties need access to the terms they are negotiating. An authorized recipient can receive a deal-scoped disclosure rather than a general key to a participant’s history. That does not mean every other infrastructure participant has no access: the configured pool auditor and the write prover and RPC have their own roles and trust boundaries. The privacy model describes these explicitly.</w:t>
      </w:r>
      <w:r>
        <w:rPr>
          <w:vertAlign w:val="superscript"/>
        </w:rPr>
        <w:footnoteReference w:id="5"/>
      </w:r>
      <w:r/>
    </w:p>
    <w:p>
      <w:pPr>
        <w:pStyle w:val="Heading2"/>
      </w:pPr>
      <w:r>
        <w:t>Why disclose one deal</w:t>
      </w:r>
    </w:p>
    <w:p>
      <w:r>
        <w:t>An operator may need to review an agreement, reconcile a payment, or share a record with someone authorized to inspect it. Broad access is often unnecessary for that job. Erebus’s v3 disclosure is bound to a recipient, scoped to a deal, and includes expiry. It does not grant spending authority.</w:t>
      </w:r>
    </w:p>
    <w:p>
      <w:r>
        <w:t>Expiry is an access condition, not a mechanism for making someone forget data they already read. A record also needs careful interpretation: the current disclosure machinery does not independently authenticate every business claim or prove that a service was delivered. Those are separate questions from decrypting the relevant deal and payment data.</w:t>
      </w:r>
      <w:r>
        <w:rPr>
          <w:vertAlign w:val="superscript"/>
        </w:rPr>
        <w:footnoteReference w:id="6"/>
      </w:r>
      <w:r/>
    </w:p>
    <w:p>
      <w:pPr>
        <w:pStyle w:val="Heading2"/>
      </w:pPr>
      <w:r>
        <w:t>A demonstration with two agent frameworks</w:t>
      </w:r>
    </w:p>
    <w:p>
      <w:r>
        <w:t>In the recorded 7 September mainnet run, Claude Code acted as payer and Codex as payee. An offer of 1.6 STRK was countered at 2 STRK. The accepted deal settled for 2 STRK with 0.5 STRK change. A third recipient then inspected the selected deal while earlier deals remained outside that grant’s scope.</w:t>
      </w:r>
      <w:r>
        <w:rPr>
          <w:vertAlign w:val="superscript"/>
        </w:rPr>
        <w:footnoteReference w:id="7"/>
      </w:r>
      <w:r/>
    </w:p>
    <w:p>
      <w:r>
        <w:t>This was an operator-controlled demonstration. It shows a bounded workflow that can be inspected. It is not evidence of a customer deployment, throughput at scale, or endorsement by the companies behind the agent frameworks.</w:t>
      </w:r>
    </w:p>
    <w:p>
      <w:pPr>
        <w:pStyle w:val="Heading2"/>
      </w:pPr>
      <w:r>
        <w:t>Where this could be useful</w:t>
      </w:r>
    </w:p>
    <w:p>
      <w:r>
        <w:t>One plausible job is paying a known service supplier after the work has been accepted through an existing process. Both parties already know each other, and the relationship may be public. The agreed rate is the sensitive information. The operator needs to settle the obligation, retain a useful record, and disclose that record when appropriate.</w:t>
      </w:r>
    </w:p>
    <w:p>
      <w:r>
        <w:t>That remains a product hypothesis. Private chat plus an ordinary wallet may already solve enough of the problem for some teams. For others, Erebus’s setup, cost, trust assumptions, or network requirements may be unacceptable. A useful product needs a repeated workflow whose value exceeds those costs.</w:t>
      </w:r>
    </w:p>
    <w:p>
      <w:pPr>
        <w:pStyle w:val="Heading2"/>
      </w:pPr>
      <w:r>
        <w:t>Where it does not fit today</w:t>
      </w:r>
    </w:p>
    <w:p>
      <w:r>
        <w:t>Erebus is not a general promise of anonymous counterparties. Its acceptance-and-payment action set is not proof that a supplier delivered a file, completed compute, or will honor future access. It should not be marketed as a general escrow or two-asset atomic exchange.</w:t>
      </w:r>
    </w:p>
    <w:p>
      <w:r>
        <w:t>The project is experimental and unaudited. The mainnet records establish bounded demonstrations. Production operation with meaningful funds needs stronger assurance, controls, recovery practices, and a deployment model the operator understands.</w:t>
      </w:r>
      <w:r>
        <w:rPr>
          <w:vertAlign w:val="superscript"/>
        </w:rPr>
        <w:footnoteReference w:id="8"/>
      </w:r>
      <w:r/>
    </w:p>
    <w:p>
      <w:pPr>
        <w:pStyle w:val="Heading2"/>
      </w:pPr>
      <w:r>
        <w:t>Try the boundary before buying the story</w:t>
      </w:r>
    </w:p>
    <w:p>
      <w:r>
        <w:t>A developer can start with mock mode without keys, a wallet, or gas. The browser simulation is another way to understand the flow, but it is not a live chain transaction. The repository links the software, run records, and privacy model so the behavior can be examined rather than inferred from a launch video.</w:t>
      </w:r>
      <w:r>
        <w:rPr>
          <w:vertAlign w:val="superscript"/>
        </w:rPr>
        <w:footnoteReference w:id="9"/>
      </w:r>
      <w:r/>
    </w:p>
    <w:p>
      <w:r>
        <w:t>If your team already makes payments where negotiated rates should remain confidential, we would like to understand the last real example. What needed to stay private? What did you use instead? How did you reconcile it? Those answers will determine which parts of Erebus should become a product.</w:t>
      </w:r>
    </w:p>
    <w:p>
      <w:r>
        <w:t>Developer start: https://github.com/PoulavBhowmick03/Erebus</w:t>
      </w:r>
    </w:p>
    <w:p>
      <w:r>
        <w:t>Privacy model: https://github.com/PoulavBhowmick03/Erebus/blob/c7795cd297e26bff71c7b524257b2c0723402d23/docs/privacy-model.md</w:t>
      </w:r>
    </w:p>
    <w:p>
      <w:pPr>
        <w:pStyle w:val="Heading1"/>
        <w:pageBreakBefore/>
      </w:pPr>
      <w:r>
        <w:t>Article two and the agent experiment</w:t>
      </w:r>
    </w:p>
    <w:p>
      <w:pPr>
        <w:pStyle w:val="Heading2"/>
      </w:pPr>
      <w:r>
        <w:t>Do agents really want privacy?</w:t>
      </w:r>
    </w:p>
    <w:p>
      <w:r>
        <w:t>Use this as a question, not a predetermined conclusion. Ten trials can test the harness, but ten model decisions do not establish an inherent preference or a paying market. PrivacyLens shows why verbal privacy judgments and agent actions need separate evaluation; option-order research motivates randomized presentation.</w:t>
      </w:r>
      <w:r>
        <w:rPr>
          <w:vertAlign w:val="superscript"/>
        </w:rPr>
        <w:footnoteReference w:id="10"/>
      </w:r>
      <w:r/>
    </w:p>
    <w:p>
      <w:pPr>
        <w:pStyle w:val="Heading2"/>
      </w:pPr>
      <w:r>
        <w:t>Draft opening</w:t>
      </w:r>
    </w:p>
    <w:p>
      <w:r>
        <w:t>An agent is about to pay a known supplier. It can use a public route or a route that keeps the terms and amount confidential. Both complete the task. What happens when confidentiality adds a cost?</w:t>
      </w:r>
    </w:p>
    <w:p>
      <w:r>
        <w:t>The interesting result is not whether a model says privacy is good. It is which tool it calls, whether the action succeeds, and whether it respects the operator’s requirements. A useful study also needs cases where public reporting is required and the public route is the right choice.</w:t>
      </w:r>
    </w:p>
    <w:p>
      <w:r>
        <w:t>We designed this experiment to separate task context, explicit instructions, option order, and cost. The confidential route still exposes the channel relationship and timing. It is not a promise of complete anonymity. The method below defines those boundaries before any result is interpreted.</w:t>
      </w:r>
    </w:p>
    <w:p>
      <w:pPr>
        <w:pStyle w:val="Heading2"/>
      </w:pPr>
      <w:r>
        <w:t>Method to freeze before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shd w:fill="333333"/>
            <w:tcMar>
              <w:top w:w="75" w:type="dxa"/>
              <w:bottom w:w="75" w:type="dxa"/>
              <w:left w:w="90" w:type="dxa"/>
              <w:right w:w="90" w:type="dxa"/>
            </w:tcMar>
          </w:tcPr>
          <w:p>
            <w:pPr>
              <w:spacing w:after="0" w:line="245" w:lineRule="auto"/>
            </w:pPr>
            <w:r>
              <w:rPr>
                <w:b/>
                <w:color w:val="FFFFFF"/>
                <w:sz w:val="20"/>
              </w:rPr>
              <w:t>Item</w:t>
            </w:r>
          </w:p>
        </w:tc>
        <w:tc>
          <w:tcPr>
            <w:tcW w:type="dxa" w:w="8064"/>
            <w:vAlign w:val="center"/>
            <w:shd w:fill="333333"/>
            <w:tcMar>
              <w:top w:w="75" w:type="dxa"/>
              <w:bottom w:w="75" w:type="dxa"/>
              <w:left w:w="90" w:type="dxa"/>
              <w:right w:w="90" w:type="dxa"/>
            </w:tcMar>
          </w:tcPr>
          <w:p>
            <w:pPr>
              <w:spacing w:after="0" w:line="245" w:lineRule="auto"/>
            </w:pPr>
            <w:r>
              <w:rPr>
                <w:b/>
                <w:color w:val="FFFFFF"/>
                <w:sz w:val="20"/>
              </w:rPr>
              <w:t>Specification</w:t>
            </w:r>
          </w:p>
        </w:tc>
      </w:tr>
      <w:tr>
        <w:trPr>
          <w:cantSplit/>
        </w:trPr>
        <w:tc>
          <w:tcPr>
            <w:tcW w:type="dxa" w:w="2016"/>
            <w:vAlign w:val="center"/>
            <w:shd w:fill="FFFFFF"/>
            <w:tcMar>
              <w:top w:w="75" w:type="dxa"/>
              <w:bottom w:w="75" w:type="dxa"/>
              <w:left w:w="90" w:type="dxa"/>
              <w:right w:w="90" w:type="dxa"/>
            </w:tcMar>
          </w:tcPr>
          <w:p>
            <w:pPr>
              <w:spacing w:after="0" w:line="245" w:lineRule="auto"/>
            </w:pPr>
            <w:r>
              <w:rPr>
                <w:sz w:val="20"/>
              </w:rPr>
              <w:t>Smoke test</w:t>
            </w:r>
          </w:p>
        </w:tc>
        <w:tc>
          <w:tcPr>
            <w:tcW w:type="dxa" w:w="8064"/>
            <w:vAlign w:val="center"/>
            <w:shd w:fill="FFFFFF"/>
            <w:tcMar>
              <w:top w:w="75" w:type="dxa"/>
              <w:bottom w:w="75" w:type="dxa"/>
              <w:left w:w="90" w:type="dxa"/>
              <w:right w:w="90" w:type="dxa"/>
            </w:tcMar>
          </w:tcPr>
          <w:p>
            <w:pPr>
              <w:spacing w:after="0" w:line="245" w:lineRule="auto"/>
            </w:pPr>
            <w:r>
              <w:rPr>
                <w:sz w:val="20"/>
              </w:rPr>
              <w:t>Ten trials to validate the harness, labeled separately from the exploratory dataset.</w:t>
            </w:r>
          </w:p>
        </w:tc>
      </w:tr>
      <w:tr>
        <w:trPr>
          <w:cantSplit/>
        </w:trPr>
        <w:tc>
          <w:tcPr>
            <w:tcW w:type="dxa" w:w="2016"/>
            <w:vAlign w:val="center"/>
            <w:shd w:fill="F3F3F3"/>
            <w:tcMar>
              <w:top w:w="75" w:type="dxa"/>
              <w:bottom w:w="75" w:type="dxa"/>
              <w:left w:w="90" w:type="dxa"/>
              <w:right w:w="90" w:type="dxa"/>
            </w:tcMar>
          </w:tcPr>
          <w:p>
            <w:pPr>
              <w:spacing w:after="0" w:line="245" w:lineRule="auto"/>
            </w:pPr>
            <w:r>
              <w:rPr>
                <w:sz w:val="20"/>
              </w:rPr>
              <w:t>Exploratory design</w:t>
            </w:r>
          </w:p>
        </w:tc>
        <w:tc>
          <w:tcPr>
            <w:tcW w:type="dxa" w:w="8064"/>
            <w:vAlign w:val="center"/>
            <w:shd w:fill="F3F3F3"/>
            <w:tcMar>
              <w:top w:w="75" w:type="dxa"/>
              <w:bottom w:w="75" w:type="dxa"/>
              <w:left w:w="90" w:type="dxa"/>
              <w:right w:w="90" w:type="dxa"/>
            </w:tcMar>
          </w:tcPr>
          <w:p>
            <w:pPr>
              <w:spacing w:after="0" w:line="245" w:lineRule="auto"/>
            </w:pPr>
            <w:r>
              <w:rPr>
                <w:sz w:val="20"/>
              </w:rPr>
              <w:t>3 model/version configurations × 4 contexts × 3 fees × 2 instruction conditions × 2 orders × 5 repetitions = 720 episodes.</w:t>
            </w:r>
          </w:p>
        </w:tc>
      </w:tr>
      <w:tr>
        <w:trPr>
          <w:cantSplit/>
        </w:trPr>
        <w:tc>
          <w:tcPr>
            <w:tcW w:type="dxa" w:w="2016"/>
            <w:vAlign w:val="center"/>
            <w:shd w:fill="FFFFFF"/>
            <w:tcMar>
              <w:top w:w="75" w:type="dxa"/>
              <w:bottom w:w="75" w:type="dxa"/>
              <w:left w:w="90" w:type="dxa"/>
              <w:right w:w="90" w:type="dxa"/>
            </w:tcMar>
          </w:tcPr>
          <w:p>
            <w:pPr>
              <w:spacing w:after="0" w:line="245" w:lineRule="auto"/>
            </w:pPr>
            <w:r>
              <w:rPr>
                <w:sz w:val="20"/>
              </w:rPr>
              <w:t>Contexts</w:t>
            </w:r>
          </w:p>
        </w:tc>
        <w:tc>
          <w:tcPr>
            <w:tcW w:type="dxa" w:w="8064"/>
            <w:vAlign w:val="center"/>
            <w:shd w:fill="FFFFFF"/>
            <w:tcMar>
              <w:top w:w="75" w:type="dxa"/>
              <w:bottom w:w="75" w:type="dxa"/>
              <w:left w:w="90" w:type="dxa"/>
              <w:right w:w="90" w:type="dxa"/>
            </w:tcMar>
          </w:tcPr>
          <w:p>
            <w:pPr>
              <w:spacing w:after="0" w:line="245" w:lineRule="auto"/>
            </w:pPr>
            <w:r>
              <w:rPr>
                <w:sz w:val="20"/>
              </w:rPr>
              <w:t>Confidential rate; routine public expense; required public reporting; sensitive amount with an acceptable public relationship.</w:t>
            </w:r>
          </w:p>
        </w:tc>
      </w:tr>
      <w:tr>
        <w:trPr>
          <w:cantSplit/>
        </w:trPr>
        <w:tc>
          <w:tcPr>
            <w:tcW w:type="dxa" w:w="2016"/>
            <w:vAlign w:val="center"/>
            <w:shd w:fill="F3F3F3"/>
            <w:tcMar>
              <w:top w:w="75" w:type="dxa"/>
              <w:bottom w:w="75" w:type="dxa"/>
              <w:left w:w="90" w:type="dxa"/>
              <w:right w:w="90" w:type="dxa"/>
            </w:tcMar>
          </w:tcPr>
          <w:p>
            <w:pPr>
              <w:spacing w:after="0" w:line="245" w:lineRule="auto"/>
            </w:pPr>
            <w:r>
              <w:rPr>
                <w:sz w:val="20"/>
              </w:rPr>
              <w:t>Cost treatments</w:t>
            </w:r>
          </w:p>
        </w:tc>
        <w:tc>
          <w:tcPr>
            <w:tcW w:type="dxa" w:w="8064"/>
            <w:vAlign w:val="center"/>
            <w:shd w:fill="F3F3F3"/>
            <w:tcMar>
              <w:top w:w="75" w:type="dxa"/>
              <w:bottom w:w="75" w:type="dxa"/>
              <w:left w:w="90" w:type="dxa"/>
              <w:right w:w="90" w:type="dxa"/>
            </w:tcMar>
          </w:tcPr>
          <w:p>
            <w:pPr>
              <w:spacing w:after="0" w:line="245" w:lineRule="auto"/>
            </w:pPr>
            <w:r>
              <w:rPr>
                <w:sz w:val="20"/>
              </w:rPr>
              <w:t>0%, 1%, and 5% additional fee in a simulator. These are experimental treatments, not actual Erebus prices.</w:t>
            </w:r>
          </w:p>
        </w:tc>
      </w:tr>
      <w:tr>
        <w:trPr>
          <w:cantSplit/>
        </w:trPr>
        <w:tc>
          <w:tcPr>
            <w:tcW w:type="dxa" w:w="2016"/>
            <w:vAlign w:val="center"/>
            <w:shd w:fill="FFFFFF"/>
            <w:tcMar>
              <w:top w:w="75" w:type="dxa"/>
              <w:bottom w:w="75" w:type="dxa"/>
              <w:left w:w="90" w:type="dxa"/>
              <w:right w:w="90" w:type="dxa"/>
            </w:tcMar>
          </w:tcPr>
          <w:p>
            <w:pPr>
              <w:spacing w:after="0" w:line="245" w:lineRule="auto"/>
            </w:pPr>
            <w:r>
              <w:rPr>
                <w:sz w:val="20"/>
              </w:rPr>
              <w:t>Controls</w:t>
            </w:r>
          </w:p>
        </w:tc>
        <w:tc>
          <w:tcPr>
            <w:tcW w:type="dxa" w:w="8064"/>
            <w:vAlign w:val="center"/>
            <w:shd w:fill="FFFFFF"/>
            <w:tcMar>
              <w:top w:w="75" w:type="dxa"/>
              <w:bottom w:w="75" w:type="dxa"/>
              <w:left w:w="90" w:type="dxa"/>
              <w:right w:w="90" w:type="dxa"/>
            </w:tcMar>
          </w:tcPr>
          <w:p>
            <w:pPr>
              <w:spacing w:after="0" w:line="245" w:lineRule="auto"/>
            </w:pPr>
            <w:r>
              <w:rPr>
                <w:sz w:val="20"/>
              </w:rPr>
              <w:t>Balanced tool descriptions, neutral names, randomized order, fresh runs, fixed settings, no brand persuasion.</w:t>
            </w:r>
          </w:p>
        </w:tc>
      </w:tr>
      <w:tr>
        <w:trPr>
          <w:cantSplit/>
        </w:trPr>
        <w:tc>
          <w:tcPr>
            <w:tcW w:type="dxa" w:w="2016"/>
            <w:vAlign w:val="center"/>
            <w:shd w:fill="F3F3F3"/>
            <w:tcMar>
              <w:top w:w="75" w:type="dxa"/>
              <w:bottom w:w="75" w:type="dxa"/>
              <w:left w:w="90" w:type="dxa"/>
              <w:right w:w="90" w:type="dxa"/>
            </w:tcMar>
          </w:tcPr>
          <w:p>
            <w:pPr>
              <w:spacing w:after="0" w:line="245" w:lineRule="auto"/>
            </w:pPr>
            <w:r>
              <w:rPr>
                <w:sz w:val="20"/>
              </w:rPr>
              <w:t>Record</w:t>
            </w:r>
          </w:p>
        </w:tc>
        <w:tc>
          <w:tcPr>
            <w:tcW w:type="dxa" w:w="8064"/>
            <w:vAlign w:val="center"/>
            <w:shd w:fill="F3F3F3"/>
            <w:tcMar>
              <w:top w:w="75" w:type="dxa"/>
              <w:bottom w:w="75" w:type="dxa"/>
              <w:left w:w="90" w:type="dxa"/>
              <w:right w:w="90" w:type="dxa"/>
            </w:tcMar>
          </w:tcPr>
          <w:p>
            <w:pPr>
              <w:spacing w:after="0" w:line="245" w:lineRule="auto"/>
            </w:pPr>
            <w:r>
              <w:rPr>
                <w:sz w:val="20"/>
              </w:rPr>
              <w:t>Tool selected, action completed, policy satisfied, abstention, error, cost, latency, model/version and prompt.</w:t>
            </w:r>
          </w:p>
        </w:tc>
      </w:tr>
      <w:tr>
        <w:trPr>
          <w:cantSplit/>
        </w:trPr>
        <w:tc>
          <w:tcPr>
            <w:tcW w:type="dxa" w:w="2016"/>
            <w:vAlign w:val="center"/>
            <w:shd w:fill="FFFFFF"/>
            <w:tcMar>
              <w:top w:w="75" w:type="dxa"/>
              <w:bottom w:w="75" w:type="dxa"/>
              <w:left w:w="90" w:type="dxa"/>
              <w:right w:w="90" w:type="dxa"/>
            </w:tcMar>
          </w:tcPr>
          <w:p>
            <w:pPr>
              <w:spacing w:after="0" w:line="245" w:lineRule="auto"/>
            </w:pPr>
            <w:r>
              <w:rPr>
                <w:sz w:val="20"/>
              </w:rPr>
              <w:t>Product bridge</w:t>
            </w:r>
          </w:p>
        </w:tc>
        <w:tc>
          <w:tcPr>
            <w:tcW w:type="dxa" w:w="8064"/>
            <w:vAlign w:val="center"/>
            <w:shd w:fill="FFFFFF"/>
            <w:tcMar>
              <w:top w:w="75" w:type="dxa"/>
              <w:bottom w:w="75" w:type="dxa"/>
              <w:left w:w="90" w:type="dxa"/>
              <w:right w:w="90" w:type="dxa"/>
            </w:tcMar>
          </w:tcPr>
          <w:p>
            <w:pPr>
              <w:spacing w:after="0" w:line="245" w:lineRule="auto"/>
            </w:pPr>
            <w:r>
              <w:rPr>
                <w:sz w:val="20"/>
              </w:rPr>
              <w:t>Separately demonstrate a chosen confidential action through Erebus in mock mode or a controlled test. Do not represent the entire simulator study as onchain use.</w:t>
            </w:r>
          </w:p>
        </w:tc>
      </w:tr>
    </w:tbl>
    <w:p>
      <w:pPr>
        <w:spacing w:after="0"/>
      </w:pPr>
    </w:p>
    <w:p>
      <w:r>
        <w:t>If the time or model budget is too high, reduce the design before collecting results and publish the change. Record missing or failed runs. Do not run the study with real customer data or uncontrolled agent access to funds.</w:t>
      </w:r>
    </w:p>
    <w:p>
      <w:pPr>
        <w:pStyle w:val="Heading2"/>
      </w:pPr>
      <w:r>
        <w:t>Results and conclusion structure</w:t>
      </w:r>
    </w:p>
    <w:p>
      <w:r>
        <w:t>Publish a table for each model and scenario with attempted runs, public selections, confidential selections, abstentions, successful actions, and policy violations. Show the cost trend and instruction effect. Keep model configurations separate; repeated runs are not additional independent models.</w:t>
      </w:r>
    </w:p>
    <w:p>
      <w:r>
        <w:t>Choose the result headline only afterward. A valid sentence is “Under these tasks and settings, configuration A completed the confidential action in N of M trials.” Insert real values only after analysis. Discuss alternative explanations and null findings before explaining what the result suggests for operator controls.</w:t>
      </w:r>
    </w:p>
    <w:p>
      <w:r>
        <w:t>Close with the harness, frozen protocol, raw non-sensitive results, and an invitation for real workflows. Buying intent still requires a human budget owner to accept a concrete offer. An agent selecting a free simulated route does not show that its operator will pay Erebus.</w:t>
      </w:r>
    </w:p>
    <w:p>
      <w:pPr>
        <w:pStyle w:val="Heading1"/>
        <w:pageBreakBefore/>
      </w:pPr>
      <w:r>
        <w:t>Profile and landing-page copy</w:t>
      </w:r>
    </w:p>
    <w:p>
      <w:pPr>
        <w:pStyle w:val="Heading2"/>
      </w:pPr>
      <w:r>
        <w:t>Proposed X bio</w:t>
      </w:r>
    </w:p>
    <w:p>
      <w:r>
        <w:t>Confidential negotiation + shielded settlement for agents on Starknet. Deal-scoped disclosure. Experimental. Try the mock ↓</w:t>
      </w:r>
    </w:p>
    <w:p>
      <w:r>
        <w:t>Keep the full privacy boundary in the linked page and pinned start post. The short bio is not a substitute for that explanation.</w:t>
      </w:r>
    </w:p>
    <w:p>
      <w:pPr>
        <w:pStyle w:val="Heading2"/>
      </w:pPr>
      <w:r>
        <w:t>Proposed current-product hero</w:t>
      </w:r>
    </w:p>
    <w:p>
      <w:r>
        <w:t>Headline: Confidential deals between agents.</w:t>
      </w:r>
    </w:p>
    <w:p>
      <w:r>
        <w:t>Body: Negotiate terms, settle on Starknet, and disclose a selected deal to an authorized recipient. Channel relationships and transaction metadata remain public.</w:t>
      </w:r>
    </w:p>
    <w:p>
      <w:r>
        <w:t>Primary action: Try the simulation. Secondary action: Run a developer mock. Supporting label: Experimental, unaudited software. The simulation does not transact onchain.</w:t>
      </w:r>
    </w:p>
    <w:p>
      <w:pPr>
        <w:pStyle w:val="Heading2"/>
      </w:pPr>
      <w:r>
        <w:t>Proposed commercial concept page</w:t>
      </w:r>
    </w:p>
    <w:p>
      <w:r>
        <w:t>Use only as a concept or evaluation page until built. Headline: A settlement workspace for confidential supplier deals. Body: We are developing an operator workflow for approved payments, clear status, reconciliation, and scoped disclosure, with MCP access for agents. We are looking for teams already making these payments.</w:t>
      </w:r>
    </w:p>
    <w:p>
      <w:r>
        <w:t>Action: Discuss a scoped evaluation. Show exactly what exists now, what the pilot includes, and which interface features are proposed. Avoid presenting an unbuilt dashboard as an available subscription.</w:t>
      </w:r>
    </w:p>
    <w:p>
      <w:pPr>
        <w:pStyle w:val="Heading2"/>
      </w:pPr>
      <w:r>
        <w:t>Launch thread follow-up reply</w:t>
      </w:r>
    </w:p>
    <w:p>
      <w:r>
        <w:t>Thanks to everyone who tried the launch demo. The next useful step is a mock deal you can reproduce without keys or gas. The README has the setup and mainnet evidence. Erebus protects deal contents; channel relationships remain public. If setup fails, tell us the step and environment: https://github.com/PoulavBhowmick03/Erebus</w:t>
      </w:r>
    </w:p>
    <w:p>
      <w:pPr>
        <w:pStyle w:val="Heading1"/>
        <w:pageBreakBefore/>
      </w:pPr>
      <w:r>
        <w:t>Paid evaluation offer</w:t>
      </w:r>
    </w:p>
    <w:p>
      <w:r>
        <w:t>This is a proposed commercial offer to test with qualified buyers, not a claim that Erebus already has paying customers. Charge for a defined evaluation outcome. The software’s maturity and the actual deployment requirements should be visible before someone accepts.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cantSplit/>
          <w:tblHeader/>
        </w:trPr>
        <w:tc>
          <w:tcPr>
            <w:tcW w:type="dxa" w:w="1944"/>
            <w:vAlign w:val="center"/>
            <w:shd w:fill="333333"/>
            <w:tcMar>
              <w:top w:w="75" w:type="dxa"/>
              <w:bottom w:w="75" w:type="dxa"/>
              <w:left w:w="90" w:type="dxa"/>
              <w:right w:w="90" w:type="dxa"/>
            </w:tcMar>
          </w:tcPr>
          <w:p>
            <w:pPr>
              <w:spacing w:after="0" w:line="245" w:lineRule="auto"/>
            </w:pPr>
            <w:r>
              <w:rPr>
                <w:b/>
                <w:color w:val="FFFFFF"/>
                <w:sz w:val="20"/>
              </w:rPr>
              <w:t>Term</w:t>
            </w:r>
          </w:p>
        </w:tc>
        <w:tc>
          <w:tcPr>
            <w:tcW w:type="dxa" w:w="8136"/>
            <w:vAlign w:val="center"/>
            <w:shd w:fill="333333"/>
            <w:tcMar>
              <w:top w:w="75" w:type="dxa"/>
              <w:bottom w:w="75" w:type="dxa"/>
              <w:left w:w="90" w:type="dxa"/>
              <w:right w:w="90" w:type="dxa"/>
            </w:tcMar>
          </w:tcPr>
          <w:p>
            <w:pPr>
              <w:spacing w:after="0" w:line="245" w:lineRule="auto"/>
            </w:pPr>
            <w:r>
              <w:rPr>
                <w:b/>
                <w:color w:val="FFFFFF"/>
                <w:sz w:val="20"/>
              </w:rPr>
              <w:t>Proposed offer</w:t>
            </w:r>
          </w:p>
        </w:tc>
      </w:tr>
      <w:tr>
        <w:trPr>
          <w:cantSplit/>
        </w:trPr>
        <w:tc>
          <w:tcPr>
            <w:tcW w:type="dxa" w:w="1944"/>
            <w:vAlign w:val="center"/>
            <w:shd w:fill="FFFFFF"/>
            <w:tcMar>
              <w:top w:w="75" w:type="dxa"/>
              <w:bottom w:w="75" w:type="dxa"/>
              <w:left w:w="90" w:type="dxa"/>
              <w:right w:w="90" w:type="dxa"/>
            </w:tcMar>
          </w:tcPr>
          <w:p>
            <w:pPr>
              <w:spacing w:after="0" w:line="245" w:lineRule="auto"/>
            </w:pPr>
            <w:r>
              <w:rPr>
                <w:sz w:val="20"/>
              </w:rPr>
              <w:t>Name</w:t>
            </w:r>
          </w:p>
        </w:tc>
        <w:tc>
          <w:tcPr>
            <w:tcW w:type="dxa" w:w="8136"/>
            <w:vAlign w:val="center"/>
            <w:shd w:fill="FFFFFF"/>
            <w:tcMar>
              <w:top w:w="75" w:type="dxa"/>
              <w:bottom w:w="75" w:type="dxa"/>
              <w:left w:w="90" w:type="dxa"/>
              <w:right w:w="90" w:type="dxa"/>
            </w:tcMar>
          </w:tcPr>
          <w:p>
            <w:pPr>
              <w:spacing w:after="0" w:line="245" w:lineRule="auto"/>
            </w:pPr>
            <w:r>
              <w:rPr>
                <w:sz w:val="20"/>
              </w:rPr>
              <w:t>Erebus confidential-settlement evaluation</w:t>
            </w:r>
          </w:p>
        </w:tc>
      </w:tr>
      <w:tr>
        <w:trPr>
          <w:cantSplit/>
        </w:trPr>
        <w:tc>
          <w:tcPr>
            <w:tcW w:type="dxa" w:w="1944"/>
            <w:vAlign w:val="center"/>
            <w:shd w:fill="F3F3F3"/>
            <w:tcMar>
              <w:top w:w="75" w:type="dxa"/>
              <w:bottom w:w="75" w:type="dxa"/>
              <w:left w:w="90" w:type="dxa"/>
              <w:right w:w="90" w:type="dxa"/>
            </w:tcMar>
          </w:tcPr>
          <w:p>
            <w:pPr>
              <w:spacing w:after="0" w:line="245" w:lineRule="auto"/>
            </w:pPr>
            <w:r>
              <w:rPr>
                <w:sz w:val="20"/>
              </w:rPr>
              <w:t>Buyer</w:t>
            </w:r>
          </w:p>
        </w:tc>
        <w:tc>
          <w:tcPr>
            <w:tcW w:type="dxa" w:w="8136"/>
            <w:vAlign w:val="center"/>
            <w:shd w:fill="F3F3F3"/>
            <w:tcMar>
              <w:top w:w="75" w:type="dxa"/>
              <w:bottom w:w="75" w:type="dxa"/>
              <w:left w:w="90" w:type="dxa"/>
              <w:right w:w="90" w:type="dxa"/>
            </w:tcMar>
          </w:tcPr>
          <w:p>
            <w:pPr>
              <w:spacing w:after="0" w:line="245" w:lineRule="auto"/>
            </w:pPr>
            <w:r>
              <w:rPr>
                <w:sz w:val="20"/>
              </w:rPr>
              <w:t>A technical team or agent operator already paying known suppliers, with a concrete need to protect terms or amounts.</w:t>
            </w:r>
          </w:p>
        </w:tc>
      </w:tr>
      <w:tr>
        <w:trPr>
          <w:cantSplit/>
        </w:trPr>
        <w:tc>
          <w:tcPr>
            <w:tcW w:type="dxa" w:w="1944"/>
            <w:vAlign w:val="center"/>
            <w:shd w:fill="FFFFFF"/>
            <w:tcMar>
              <w:top w:w="75" w:type="dxa"/>
              <w:bottom w:w="75" w:type="dxa"/>
              <w:left w:w="90" w:type="dxa"/>
              <w:right w:w="90" w:type="dxa"/>
            </w:tcMar>
          </w:tcPr>
          <w:p>
            <w:pPr>
              <w:spacing w:after="0" w:line="245" w:lineRule="auto"/>
            </w:pPr>
            <w:r>
              <w:rPr>
                <w:sz w:val="20"/>
              </w:rPr>
              <w:t>Price</w:t>
            </w:r>
          </w:p>
        </w:tc>
        <w:tc>
          <w:tcPr>
            <w:tcW w:type="dxa" w:w="8136"/>
            <w:vAlign w:val="center"/>
            <w:shd w:fill="FFFFFF"/>
            <w:tcMar>
              <w:top w:w="75" w:type="dxa"/>
              <w:bottom w:w="75" w:type="dxa"/>
              <w:left w:w="90" w:type="dxa"/>
              <w:right w:w="90" w:type="dxa"/>
            </w:tcMar>
          </w:tcPr>
          <w:p>
            <w:pPr>
              <w:spacing w:after="0" w:line="245" w:lineRule="auto"/>
            </w:pPr>
            <w:r>
              <w:rPr>
                <w:sz w:val="20"/>
              </w:rPr>
              <w:t>Test $750 once. A $500 to $1500 negotiation range is acceptable only when scope changes explicitly.</w:t>
            </w:r>
          </w:p>
        </w:tc>
      </w:tr>
      <w:tr>
        <w:trPr>
          <w:cantSplit/>
        </w:trPr>
        <w:tc>
          <w:tcPr>
            <w:tcW w:type="dxa" w:w="1944"/>
            <w:vAlign w:val="center"/>
            <w:shd w:fill="F3F3F3"/>
            <w:tcMar>
              <w:top w:w="75" w:type="dxa"/>
              <w:bottom w:w="75" w:type="dxa"/>
              <w:left w:w="90" w:type="dxa"/>
              <w:right w:w="90" w:type="dxa"/>
            </w:tcMar>
          </w:tcPr>
          <w:p>
            <w:pPr>
              <w:spacing w:after="0" w:line="245" w:lineRule="auto"/>
            </w:pPr>
            <w:r>
              <w:rPr>
                <w:sz w:val="20"/>
              </w:rPr>
              <w:t>Duration</w:t>
            </w:r>
          </w:p>
        </w:tc>
        <w:tc>
          <w:tcPr>
            <w:tcW w:type="dxa" w:w="8136"/>
            <w:vAlign w:val="center"/>
            <w:shd w:fill="F3F3F3"/>
            <w:tcMar>
              <w:top w:w="75" w:type="dxa"/>
              <w:bottom w:w="75" w:type="dxa"/>
              <w:left w:w="90" w:type="dxa"/>
              <w:right w:w="90" w:type="dxa"/>
            </w:tcMar>
          </w:tcPr>
          <w:p>
            <w:pPr>
              <w:spacing w:after="0" w:line="245" w:lineRule="auto"/>
            </w:pPr>
            <w:r>
              <w:rPr>
                <w:sz w:val="20"/>
              </w:rPr>
              <w:t>Five business days after prerequisites are ready, subject to both parties agreeing the schedule.</w:t>
            </w:r>
          </w:p>
        </w:tc>
      </w:tr>
      <w:tr>
        <w:trPr>
          <w:cantSplit/>
        </w:trPr>
        <w:tc>
          <w:tcPr>
            <w:tcW w:type="dxa" w:w="1944"/>
            <w:vAlign w:val="center"/>
            <w:shd w:fill="FFFFFF"/>
            <w:tcMar>
              <w:top w:w="75" w:type="dxa"/>
              <w:bottom w:w="75" w:type="dxa"/>
              <w:left w:w="90" w:type="dxa"/>
              <w:right w:w="90" w:type="dxa"/>
            </w:tcMar>
          </w:tcPr>
          <w:p>
            <w:pPr>
              <w:spacing w:after="0" w:line="245" w:lineRule="auto"/>
            </w:pPr>
            <w:r>
              <w:rPr>
                <w:sz w:val="20"/>
              </w:rPr>
              <w:t>Included</w:t>
            </w:r>
          </w:p>
        </w:tc>
        <w:tc>
          <w:tcPr>
            <w:tcW w:type="dxa" w:w="8136"/>
            <w:vAlign w:val="center"/>
            <w:shd w:fill="FFFFFF"/>
            <w:tcMar>
              <w:top w:w="75" w:type="dxa"/>
              <w:bottom w:w="75" w:type="dxa"/>
              <w:left w:w="90" w:type="dxa"/>
              <w:right w:w="90" w:type="dxa"/>
            </w:tcMar>
          </w:tcPr>
          <w:p>
            <w:pPr>
              <w:spacing w:after="0" w:line="245" w:lineRule="auto"/>
            </w:pPr>
            <w:r>
              <w:rPr>
                <w:sz w:val="20"/>
              </w:rPr>
              <w:t>One workflow interview; one supported-environment setup; guided mock integration; documented privacy, cost, and recovery assessment; a go/no-go report.</w:t>
            </w:r>
          </w:p>
        </w:tc>
      </w:tr>
      <w:tr>
        <w:trPr>
          <w:cantSplit/>
        </w:trPr>
        <w:tc>
          <w:tcPr>
            <w:tcW w:type="dxa" w:w="1944"/>
            <w:vAlign w:val="center"/>
            <w:shd w:fill="F3F3F3"/>
            <w:tcMar>
              <w:top w:w="75" w:type="dxa"/>
              <w:bottom w:w="75" w:type="dxa"/>
              <w:left w:w="90" w:type="dxa"/>
              <w:right w:w="90" w:type="dxa"/>
            </w:tcMar>
          </w:tcPr>
          <w:p>
            <w:pPr>
              <w:spacing w:after="0" w:line="245" w:lineRule="auto"/>
            </w:pPr>
            <w:r>
              <w:rPr>
                <w:sz w:val="20"/>
              </w:rPr>
              <w:t>Success</w:t>
            </w:r>
          </w:p>
        </w:tc>
        <w:tc>
          <w:tcPr>
            <w:tcW w:type="dxa" w:w="8136"/>
            <w:vAlign w:val="center"/>
            <w:shd w:fill="F3F3F3"/>
            <w:tcMar>
              <w:top w:w="75" w:type="dxa"/>
              <w:bottom w:w="75" w:type="dxa"/>
              <w:left w:w="90" w:type="dxa"/>
              <w:right w:w="90" w:type="dxa"/>
            </w:tcMar>
          </w:tcPr>
          <w:p>
            <w:pPr>
              <w:spacing w:after="0" w:line="245" w:lineRule="auto"/>
            </w:pPr>
            <w:r>
              <w:rPr>
                <w:sz w:val="20"/>
              </w:rPr>
              <w:t>The buyer can reproduce the agreed evaluation task and understands what blocks or enables an actual deployment.</w:t>
            </w:r>
          </w:p>
        </w:tc>
      </w:tr>
      <w:tr>
        <w:trPr>
          <w:cantSplit/>
        </w:trPr>
        <w:tc>
          <w:tcPr>
            <w:tcW w:type="dxa" w:w="1944"/>
            <w:vAlign w:val="center"/>
            <w:shd w:fill="FFFFFF"/>
            <w:tcMar>
              <w:top w:w="75" w:type="dxa"/>
              <w:bottom w:w="75" w:type="dxa"/>
              <w:left w:w="90" w:type="dxa"/>
              <w:right w:w="90" w:type="dxa"/>
            </w:tcMar>
          </w:tcPr>
          <w:p>
            <w:pPr>
              <w:spacing w:after="0" w:line="245" w:lineRule="auto"/>
            </w:pPr>
            <w:r>
              <w:rPr>
                <w:sz w:val="20"/>
              </w:rPr>
              <w:t>Support cap</w:t>
            </w:r>
          </w:p>
        </w:tc>
        <w:tc>
          <w:tcPr>
            <w:tcW w:type="dxa" w:w="8136"/>
            <w:vAlign w:val="center"/>
            <w:shd w:fill="FFFFFF"/>
            <w:tcMar>
              <w:top w:w="75" w:type="dxa"/>
              <w:bottom w:w="75" w:type="dxa"/>
              <w:left w:w="90" w:type="dxa"/>
              <w:right w:w="90" w:type="dxa"/>
            </w:tcMar>
          </w:tcPr>
          <w:p>
            <w:pPr>
              <w:spacing w:after="0" w:line="245" w:lineRule="auto"/>
            </w:pPr>
            <w:r>
              <w:rPr>
                <w:sz w:val="20"/>
              </w:rPr>
              <w:t>Up to six founder hours. Additional work needs a separately agreed scope; log actual time to test economics.</w:t>
            </w:r>
          </w:p>
        </w:tc>
      </w:tr>
      <w:tr>
        <w:trPr>
          <w:cantSplit/>
        </w:trPr>
        <w:tc>
          <w:tcPr>
            <w:tcW w:type="dxa" w:w="1944"/>
            <w:vAlign w:val="center"/>
            <w:shd w:fill="F3F3F3"/>
            <w:tcMar>
              <w:top w:w="75" w:type="dxa"/>
              <w:bottom w:w="75" w:type="dxa"/>
              <w:left w:w="90" w:type="dxa"/>
              <w:right w:w="90" w:type="dxa"/>
            </w:tcMar>
          </w:tcPr>
          <w:p>
            <w:pPr>
              <w:spacing w:after="0" w:line="245" w:lineRule="auto"/>
            </w:pPr>
            <w:r>
              <w:rPr>
                <w:sz w:val="20"/>
              </w:rPr>
              <w:t>Excluded</w:t>
            </w:r>
          </w:p>
        </w:tc>
        <w:tc>
          <w:tcPr>
            <w:tcW w:type="dxa" w:w="8136"/>
            <w:vAlign w:val="center"/>
            <w:shd w:fill="F3F3F3"/>
            <w:tcMar>
              <w:top w:w="75" w:type="dxa"/>
              <w:bottom w:w="75" w:type="dxa"/>
              <w:left w:w="90" w:type="dxa"/>
              <w:right w:w="90" w:type="dxa"/>
            </w:tcMar>
          </w:tcPr>
          <w:p>
            <w:pPr>
              <w:spacing w:after="0" w:line="245" w:lineRule="auto"/>
            </w:pPr>
            <w:r>
              <w:rPr>
                <w:sz w:val="20"/>
              </w:rPr>
              <w:t>Security audit, custody or managed funds, production SLA, custom chain support, service-delivery guarantees, and unlimited feature development.</w:t>
            </w:r>
          </w:p>
        </w:tc>
      </w:tr>
      <w:tr>
        <w:trPr>
          <w:cantSplit/>
        </w:trPr>
        <w:tc>
          <w:tcPr>
            <w:tcW w:type="dxa" w:w="1944"/>
            <w:vAlign w:val="center"/>
            <w:shd w:fill="FFFFFF"/>
            <w:tcMar>
              <w:top w:w="75" w:type="dxa"/>
              <w:bottom w:w="75" w:type="dxa"/>
              <w:left w:w="90" w:type="dxa"/>
              <w:right w:w="90" w:type="dxa"/>
            </w:tcMar>
          </w:tcPr>
          <w:p>
            <w:pPr>
              <w:spacing w:after="0" w:line="245" w:lineRule="auto"/>
            </w:pPr>
            <w:r>
              <w:rPr>
                <w:sz w:val="20"/>
              </w:rPr>
              <w:t>Transaction costs</w:t>
            </w:r>
          </w:p>
        </w:tc>
        <w:tc>
          <w:tcPr>
            <w:tcW w:type="dxa" w:w="8136"/>
            <w:vAlign w:val="center"/>
            <w:shd w:fill="FFFFFF"/>
            <w:tcMar>
              <w:top w:w="75" w:type="dxa"/>
              <w:bottom w:w="75" w:type="dxa"/>
              <w:left w:w="90" w:type="dxa"/>
              <w:right w:w="90" w:type="dxa"/>
            </w:tcMar>
          </w:tcPr>
          <w:p>
            <w:pPr>
              <w:spacing w:after="0" w:line="245" w:lineRule="auto"/>
            </w:pPr>
            <w:r>
              <w:rPr>
                <w:sz w:val="20"/>
              </w:rPr>
              <w:t>No mainnet funds are needed for the mock evaluation. Any separately agreed controlled live validation needs explicit scope and cost handling.</w:t>
            </w:r>
          </w:p>
        </w:tc>
      </w:tr>
      <w:tr>
        <w:trPr>
          <w:cantSplit/>
        </w:trPr>
        <w:tc>
          <w:tcPr>
            <w:tcW w:type="dxa" w:w="1944"/>
            <w:vAlign w:val="center"/>
            <w:shd w:fill="F3F3F3"/>
            <w:tcMar>
              <w:top w:w="75" w:type="dxa"/>
              <w:bottom w:w="75" w:type="dxa"/>
              <w:left w:w="90" w:type="dxa"/>
              <w:right w:w="90" w:type="dxa"/>
            </w:tcMar>
          </w:tcPr>
          <w:p>
            <w:pPr>
              <w:spacing w:after="0" w:line="245" w:lineRule="auto"/>
            </w:pPr>
            <w:r>
              <w:rPr>
                <w:sz w:val="20"/>
              </w:rPr>
              <w:t>Next offer</w:t>
            </w:r>
          </w:p>
        </w:tc>
        <w:tc>
          <w:tcPr>
            <w:tcW w:type="dxa" w:w="8136"/>
            <w:vAlign w:val="center"/>
            <w:shd w:fill="F3F3F3"/>
            <w:tcMar>
              <w:top w:w="75" w:type="dxa"/>
              <w:bottom w:w="75" w:type="dxa"/>
              <w:left w:w="90" w:type="dxa"/>
              <w:right w:w="90" w:type="dxa"/>
            </w:tcMar>
          </w:tcPr>
          <w:p>
            <w:pPr>
              <w:spacing w:after="0" w:line="245" w:lineRule="auto"/>
            </w:pPr>
            <w:r>
              <w:rPr>
                <w:sz w:val="20"/>
              </w:rPr>
              <w:t>Test $299 per team per month only after repeated value and readiness are demonstrated. Define included usage, support, and pass-through costs before quoting.</w:t>
            </w:r>
          </w:p>
        </w:tc>
      </w:tr>
    </w:tbl>
    <w:p>
      <w:pPr>
        <w:spacing w:after="0"/>
      </w:pPr>
    </w:p>
    <w:p>
      <w:r>
        <w:t>At six hours of labor valued at $30/hour and $25 of attributable infrastructure, a $750 evaluation contributes $545 before acquisition, overhead, engineering, and security costs. These are illustrative assumptions. If the evaluation requires twenty hours, the same calculation falls to $125; narrow the scope or change the price.</w:t>
      </w:r>
    </w:p>
    <w:p>
      <w:pPr>
        <w:pStyle w:val="Heading2"/>
      </w:pPr>
      <w:r>
        <w:t>A discovery message</w:t>
      </w:r>
    </w:p>
    <w:p>
      <w:r>
        <w:t>Hi, we are working on Erebus, confidential negotiation and settlement for agent workflows on Starknet. I saw your question about agent payments. Could you walk us through the last service payment your team made? We are trying to understand what must stay confidential and where the current process breaks. A 20-minute call would help; a short written example also works.</w:t>
      </w:r>
    </w:p>
    <w:p>
      <w:r>
        <w:t>Adapt the opening to a real, observed question. This is a draft; no outreach has been sent. Contact relevant people individually. Do not mass-send to every person who liked the launch.</w:t>
      </w:r>
    </w:p>
    <w:p>
      <w:pPr>
        <w:pStyle w:val="Heading2"/>
      </w:pPr>
      <w:r>
        <w:t>A pilot proposal message</w:t>
      </w:r>
    </w:p>
    <w:p>
      <w:r>
        <w:t>Based on the workflow you described, we can offer a fixed-scope Erebus evaluation for $750: review that workflow, set up one supported environment, reproduce it in mock mode, and deliver a go/no-go assessment covering privacy boundaries, costs, and recovery. Erebus is experimental and unaudited, so this is an integration evaluation. Would that deliverable be valuable enough for your team to fund?</w:t>
      </w:r>
    </w:p>
    <w:p>
      <w:pPr>
        <w:pStyle w:val="Heading1"/>
        <w:pageBreakBefore/>
      </w:pPr>
      <w:r>
        <w:t>Measurement templates</w:t>
      </w:r>
    </w:p>
    <w:p>
      <w:pPr>
        <w:pStyle w:val="Heading2"/>
      </w:pPr>
      <w:r>
        <w:t>Post 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shd w:fill="333333"/>
            <w:tcMar>
              <w:top w:w="75" w:type="dxa"/>
              <w:bottom w:w="75" w:type="dxa"/>
              <w:left w:w="90" w:type="dxa"/>
              <w:right w:w="90" w:type="dxa"/>
            </w:tcMar>
          </w:tcPr>
          <w:p>
            <w:pPr>
              <w:spacing w:after="0" w:line="245" w:lineRule="auto"/>
            </w:pPr>
            <w:r>
              <w:rPr>
                <w:b/>
                <w:color w:val="FFFFFF"/>
                <w:sz w:val="20"/>
              </w:rPr>
              <w:t>Field</w:t>
            </w:r>
          </w:p>
        </w:tc>
        <w:tc>
          <w:tcPr>
            <w:tcW w:type="dxa" w:w="7920"/>
            <w:vAlign w:val="center"/>
            <w:shd w:fill="333333"/>
            <w:tcMar>
              <w:top w:w="75" w:type="dxa"/>
              <w:bottom w:w="75" w:type="dxa"/>
              <w:left w:w="90" w:type="dxa"/>
              <w:right w:w="90" w:type="dxa"/>
            </w:tcMar>
          </w:tcPr>
          <w:p>
            <w:pPr>
              <w:spacing w:after="0" w:line="245" w:lineRule="auto"/>
            </w:pPr>
            <w:r>
              <w:rPr>
                <w:b/>
                <w:color w:val="FFFFFF"/>
                <w:sz w:val="20"/>
              </w:rPr>
              <w:t>What to enter</w:t>
            </w:r>
          </w:p>
        </w:tc>
      </w:tr>
      <w:tr>
        <w:trPr>
          <w:cantSplit/>
        </w:trPr>
        <w:tc>
          <w:tcPr>
            <w:tcW w:type="dxa" w:w="2160"/>
            <w:vAlign w:val="center"/>
            <w:shd w:fill="FFFFFF"/>
            <w:tcMar>
              <w:top w:w="75" w:type="dxa"/>
              <w:bottom w:w="75" w:type="dxa"/>
              <w:left w:w="90" w:type="dxa"/>
              <w:right w:w="90" w:type="dxa"/>
            </w:tcMar>
          </w:tcPr>
          <w:p>
            <w:pPr>
              <w:spacing w:after="0" w:line="245" w:lineRule="auto"/>
            </w:pPr>
            <w:r>
              <w:rPr>
                <w:sz w:val="20"/>
              </w:rPr>
              <w:t>Identity</w:t>
            </w:r>
          </w:p>
        </w:tc>
        <w:tc>
          <w:tcPr>
            <w:tcW w:type="dxa" w:w="7920"/>
            <w:vAlign w:val="center"/>
            <w:shd w:fill="FFFFFF"/>
            <w:tcMar>
              <w:top w:w="75" w:type="dxa"/>
              <w:bottom w:w="75" w:type="dxa"/>
              <w:left w:w="90" w:type="dxa"/>
              <w:right w:w="90" w:type="dxa"/>
            </w:tcMar>
          </w:tcPr>
          <w:p>
            <w:pPr>
              <w:spacing w:after="0" w:line="245" w:lineRule="auto"/>
            </w:pPr>
            <w:r>
              <w:rPr>
                <w:sz w:val="20"/>
              </w:rPr>
              <w:t>Post ID, live URL, publication time, author, topic, format, asset, CTA, and preparation hours.</w:t>
            </w:r>
          </w:p>
        </w:tc>
      </w:tr>
      <w:tr>
        <w:trPr>
          <w:cantSplit/>
        </w:trPr>
        <w:tc>
          <w:tcPr>
            <w:tcW w:type="dxa" w:w="2160"/>
            <w:vAlign w:val="center"/>
            <w:shd w:fill="F3F3F3"/>
            <w:tcMar>
              <w:top w:w="75" w:type="dxa"/>
              <w:bottom w:w="75" w:type="dxa"/>
              <w:left w:w="90" w:type="dxa"/>
              <w:right w:w="90" w:type="dxa"/>
            </w:tcMar>
          </w:tcPr>
          <w:p>
            <w:pPr>
              <w:spacing w:after="0" w:line="245" w:lineRule="auto"/>
            </w:pPr>
            <w:r>
              <w:rPr>
                <w:sz w:val="20"/>
              </w:rPr>
              <w:t>At 24 and 72 hours</w:t>
            </w:r>
          </w:p>
        </w:tc>
        <w:tc>
          <w:tcPr>
            <w:tcW w:type="dxa" w:w="7920"/>
            <w:vAlign w:val="center"/>
            <w:shd w:fill="F3F3F3"/>
            <w:tcMar>
              <w:top w:w="75" w:type="dxa"/>
              <w:bottom w:w="75" w:type="dxa"/>
              <w:left w:w="90" w:type="dxa"/>
              <w:right w:w="90" w:type="dxa"/>
            </w:tcMar>
          </w:tcPr>
          <w:p>
            <w:pPr>
              <w:spacing w:after="0" w:line="245" w:lineRule="auto"/>
            </w:pPr>
            <w:r>
              <w:rPr>
                <w:sz w:val="20"/>
              </w:rPr>
              <w:t>Views, replies, reposts, quotes, bookmarks where available, qualified interactions, attributed visits, and completed next steps.</w:t>
            </w:r>
          </w:p>
        </w:tc>
      </w:tr>
      <w:tr>
        <w:trPr>
          <w:cantSplit/>
        </w:trPr>
        <w:tc>
          <w:tcPr>
            <w:tcW w:type="dxa" w:w="2160"/>
            <w:vAlign w:val="center"/>
            <w:shd w:fill="FFFFFF"/>
            <w:tcMar>
              <w:top w:w="75" w:type="dxa"/>
              <w:bottom w:w="75" w:type="dxa"/>
              <w:left w:w="90" w:type="dxa"/>
              <w:right w:w="90" w:type="dxa"/>
            </w:tcMar>
          </w:tcPr>
          <w:p>
            <w:pPr>
              <w:spacing w:after="0" w:line="245" w:lineRule="auto"/>
            </w:pPr>
            <w:r>
              <w:rPr>
                <w:sz w:val="20"/>
              </w:rPr>
              <w:t>Distribution context</w:t>
            </w:r>
          </w:p>
        </w:tc>
        <w:tc>
          <w:tcPr>
            <w:tcW w:type="dxa" w:w="7920"/>
            <w:vAlign w:val="center"/>
            <w:shd w:fill="FFFFFF"/>
            <w:tcMar>
              <w:top w:w="75" w:type="dxa"/>
              <w:bottom w:w="75" w:type="dxa"/>
              <w:left w:w="90" w:type="dxa"/>
              <w:right w:w="90" w:type="dxa"/>
            </w:tcMar>
          </w:tcPr>
          <w:p>
            <w:pPr>
              <w:spacing w:after="0" w:line="245" w:lineRule="auto"/>
            </w:pPr>
            <w:r>
              <w:rPr>
                <w:sz w:val="20"/>
              </w:rPr>
              <w:t>Known community reshares, founder activity, concurrent events, changed claims, and whether the post was linked externally.</w:t>
            </w:r>
          </w:p>
        </w:tc>
      </w:tr>
      <w:tr>
        <w:trPr>
          <w:cantSplit/>
        </w:trPr>
        <w:tc>
          <w:tcPr>
            <w:tcW w:type="dxa" w:w="2160"/>
            <w:vAlign w:val="center"/>
            <w:shd w:fill="F3F3F3"/>
            <w:tcMar>
              <w:top w:w="75" w:type="dxa"/>
              <w:bottom w:w="75" w:type="dxa"/>
              <w:left w:w="90" w:type="dxa"/>
              <w:right w:w="90" w:type="dxa"/>
            </w:tcMar>
          </w:tcPr>
          <w:p>
            <w:pPr>
              <w:spacing w:after="0" w:line="245" w:lineRule="auto"/>
            </w:pPr>
            <w:r>
              <w:rPr>
                <w:sz w:val="20"/>
              </w:rPr>
              <w:t>Outcome</w:t>
            </w:r>
          </w:p>
        </w:tc>
        <w:tc>
          <w:tcPr>
            <w:tcW w:type="dxa" w:w="7920"/>
            <w:vAlign w:val="center"/>
            <w:shd w:fill="F3F3F3"/>
            <w:tcMar>
              <w:top w:w="75" w:type="dxa"/>
              <w:bottom w:w="75" w:type="dxa"/>
              <w:left w:w="90" w:type="dxa"/>
              <w:right w:w="90" w:type="dxa"/>
            </w:tcMar>
          </w:tcPr>
          <w:p>
            <w:pPr>
              <w:spacing w:after="0" w:line="245" w:lineRule="auto"/>
            </w:pPr>
            <w:r>
              <w:rPr>
                <w:sz w:val="20"/>
              </w:rPr>
              <w:t>Outside mock runs, interviews, or evaluation requests attributable with reasonable confidence. Record unknown attribution as unknown.</w:t>
            </w:r>
          </w:p>
        </w:tc>
      </w:tr>
      <w:tr>
        <w:trPr>
          <w:cantSplit/>
        </w:trPr>
        <w:tc>
          <w:tcPr>
            <w:tcW w:type="dxa" w:w="2160"/>
            <w:vAlign w:val="center"/>
            <w:shd w:fill="FFFFFF"/>
            <w:tcMar>
              <w:top w:w="75" w:type="dxa"/>
              <w:bottom w:w="75" w:type="dxa"/>
              <w:left w:w="90" w:type="dxa"/>
              <w:right w:w="90" w:type="dxa"/>
            </w:tcMar>
          </w:tcPr>
          <w:p>
            <w:pPr>
              <w:spacing w:after="0" w:line="245" w:lineRule="auto"/>
            </w:pPr>
            <w:r>
              <w:rPr>
                <w:sz w:val="20"/>
              </w:rPr>
              <w:t>Decision</w:t>
            </w:r>
          </w:p>
        </w:tc>
        <w:tc>
          <w:tcPr>
            <w:tcW w:type="dxa" w:w="7920"/>
            <w:vAlign w:val="center"/>
            <w:shd w:fill="FFFFFF"/>
            <w:tcMar>
              <w:top w:w="75" w:type="dxa"/>
              <w:bottom w:w="75" w:type="dxa"/>
              <w:left w:w="90" w:type="dxa"/>
              <w:right w:w="90" w:type="dxa"/>
            </w:tcMar>
          </w:tcPr>
          <w:p>
            <w:pPr>
              <w:spacing w:after="0" w:line="245" w:lineRule="auto"/>
            </w:pPr>
            <w:r>
              <w:rPr>
                <w:sz w:val="20"/>
              </w:rPr>
              <w:t>Repeat, revise, retire, or investigate; state the observation supporting the choice.</w:t>
            </w:r>
          </w:p>
        </w:tc>
      </w:tr>
    </w:tbl>
    <w:p>
      <w:pPr>
        <w:spacing w:after="0"/>
      </w:pPr>
    </w:p>
    <w:p>
      <w:r>
        <w:t>Example campaign fields: utm_source=x, utm_medium=organic, utm_campaign=erebus_month1, utm_content=p01. Use the actual published landing URL with these parameters. Verify the site records them before trusting attribution. The repository’s analytics commit says the project-level collection toggle also needs enabling.</w:t>
      </w:r>
      <w:r>
        <w:rPr>
          <w:vertAlign w:val="superscript"/>
        </w:rPr>
        <w:footnoteReference w:id="11"/>
      </w:r>
      <w:r/>
    </w:p>
    <w:p>
      <w:pPr>
        <w:pStyle w:val="Heading2"/>
      </w:pPr>
      <w:r>
        <w:t>Company-level pipeline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shd w:fill="333333"/>
            <w:tcMar>
              <w:top w:w="75" w:type="dxa"/>
              <w:bottom w:w="75" w:type="dxa"/>
              <w:left w:w="90" w:type="dxa"/>
              <w:right w:w="90" w:type="dxa"/>
            </w:tcMar>
          </w:tcPr>
          <w:p>
            <w:pPr>
              <w:spacing w:after="0" w:line="245" w:lineRule="auto"/>
            </w:pPr>
            <w:r>
              <w:rPr>
                <w:b/>
                <w:color w:val="FFFFFF"/>
                <w:sz w:val="20"/>
              </w:rPr>
              <w:t>Stage</w:t>
            </w:r>
          </w:p>
        </w:tc>
        <w:tc>
          <w:tcPr>
            <w:tcW w:type="dxa" w:w="7920"/>
            <w:vAlign w:val="center"/>
            <w:shd w:fill="333333"/>
            <w:tcMar>
              <w:top w:w="75" w:type="dxa"/>
              <w:bottom w:w="75" w:type="dxa"/>
              <w:left w:w="90" w:type="dxa"/>
              <w:right w:w="90" w:type="dxa"/>
            </w:tcMar>
          </w:tcPr>
          <w:p>
            <w:pPr>
              <w:spacing w:after="0" w:line="245" w:lineRule="auto"/>
            </w:pPr>
            <w:r>
              <w:rPr>
                <w:b/>
                <w:color w:val="FFFFFF"/>
                <w:sz w:val="20"/>
              </w:rPr>
              <w:t>Required evidence</w:t>
            </w:r>
          </w:p>
        </w:tc>
      </w:tr>
      <w:tr>
        <w:trPr>
          <w:cantSplit/>
        </w:trPr>
        <w:tc>
          <w:tcPr>
            <w:tcW w:type="dxa" w:w="2160"/>
            <w:vAlign w:val="center"/>
            <w:shd w:fill="FFFFFF"/>
            <w:tcMar>
              <w:top w:w="75" w:type="dxa"/>
              <w:bottom w:w="75" w:type="dxa"/>
              <w:left w:w="90" w:type="dxa"/>
              <w:right w:w="90" w:type="dxa"/>
            </w:tcMar>
          </w:tcPr>
          <w:p>
            <w:pPr>
              <w:spacing w:after="0" w:line="245" w:lineRule="auto"/>
            </w:pPr>
            <w:r>
              <w:rPr>
                <w:sz w:val="20"/>
              </w:rPr>
              <w:t>Relevant</w:t>
            </w:r>
          </w:p>
        </w:tc>
        <w:tc>
          <w:tcPr>
            <w:tcW w:type="dxa" w:w="7920"/>
            <w:vAlign w:val="center"/>
            <w:shd w:fill="FFFFFF"/>
            <w:tcMar>
              <w:top w:w="75" w:type="dxa"/>
              <w:bottom w:w="75" w:type="dxa"/>
              <w:left w:w="90" w:type="dxa"/>
              <w:right w:w="90" w:type="dxa"/>
            </w:tcMar>
          </w:tcPr>
          <w:p>
            <w:pPr>
              <w:spacing w:after="0" w:line="245" w:lineRule="auto"/>
            </w:pPr>
            <w:r>
              <w:rPr>
                <w:sz w:val="20"/>
              </w:rPr>
              <w:t>A real team with a specific payment job; public relationship visibility is acceptable.</w:t>
            </w:r>
          </w:p>
        </w:tc>
      </w:tr>
      <w:tr>
        <w:trPr>
          <w:cantSplit/>
        </w:trPr>
        <w:tc>
          <w:tcPr>
            <w:tcW w:type="dxa" w:w="2160"/>
            <w:vAlign w:val="center"/>
            <w:shd w:fill="F3F3F3"/>
            <w:tcMar>
              <w:top w:w="75" w:type="dxa"/>
              <w:bottom w:w="75" w:type="dxa"/>
              <w:left w:w="90" w:type="dxa"/>
              <w:right w:w="90" w:type="dxa"/>
            </w:tcMar>
          </w:tcPr>
          <w:p>
            <w:pPr>
              <w:spacing w:after="0" w:line="245" w:lineRule="auto"/>
            </w:pPr>
            <w:r>
              <w:rPr>
                <w:sz w:val="20"/>
              </w:rPr>
              <w:t>Interviewed</w:t>
            </w:r>
          </w:p>
        </w:tc>
        <w:tc>
          <w:tcPr>
            <w:tcW w:type="dxa" w:w="7920"/>
            <w:vAlign w:val="center"/>
            <w:shd w:fill="F3F3F3"/>
            <w:tcMar>
              <w:top w:w="75" w:type="dxa"/>
              <w:bottom w:w="75" w:type="dxa"/>
              <w:left w:w="90" w:type="dxa"/>
              <w:right w:w="90" w:type="dxa"/>
            </w:tcMar>
          </w:tcPr>
          <w:p>
            <w:pPr>
              <w:spacing w:after="0" w:line="245" w:lineRule="auto"/>
            </w:pPr>
            <w:r>
              <w:rPr>
                <w:sz w:val="20"/>
              </w:rPr>
              <w:t>Last workflow described, frequency recorded, pain identified, current substitute understood.</w:t>
            </w:r>
          </w:p>
        </w:tc>
      </w:tr>
      <w:tr>
        <w:trPr>
          <w:cantSplit/>
        </w:trPr>
        <w:tc>
          <w:tcPr>
            <w:tcW w:type="dxa" w:w="2160"/>
            <w:vAlign w:val="center"/>
            <w:shd w:fill="FFFFFF"/>
            <w:tcMar>
              <w:top w:w="75" w:type="dxa"/>
              <w:bottom w:w="75" w:type="dxa"/>
              <w:left w:w="90" w:type="dxa"/>
              <w:right w:w="90" w:type="dxa"/>
            </w:tcMar>
          </w:tcPr>
          <w:p>
            <w:pPr>
              <w:spacing w:after="0" w:line="245" w:lineRule="auto"/>
            </w:pPr>
            <w:r>
              <w:rPr>
                <w:sz w:val="20"/>
              </w:rPr>
              <w:t>Activated</w:t>
            </w:r>
          </w:p>
        </w:tc>
        <w:tc>
          <w:tcPr>
            <w:tcW w:type="dxa" w:w="7920"/>
            <w:vAlign w:val="center"/>
            <w:shd w:fill="FFFFFF"/>
            <w:tcMar>
              <w:top w:w="75" w:type="dxa"/>
              <w:bottom w:w="75" w:type="dxa"/>
              <w:left w:w="90" w:type="dxa"/>
              <w:right w:w="90" w:type="dxa"/>
            </w:tcMar>
          </w:tcPr>
          <w:p>
            <w:pPr>
              <w:spacing w:after="0" w:line="245" w:lineRule="auto"/>
            </w:pPr>
            <w:r>
              <w:rPr>
                <w:sz w:val="20"/>
              </w:rPr>
              <w:t>Someone outside the founders completes the agreed mock or integration task; label which.</w:t>
            </w:r>
          </w:p>
        </w:tc>
      </w:tr>
      <w:tr>
        <w:trPr>
          <w:cantSplit/>
        </w:trPr>
        <w:tc>
          <w:tcPr>
            <w:tcW w:type="dxa" w:w="2160"/>
            <w:vAlign w:val="center"/>
            <w:shd w:fill="F3F3F3"/>
            <w:tcMar>
              <w:top w:w="75" w:type="dxa"/>
              <w:bottom w:w="75" w:type="dxa"/>
              <w:left w:w="90" w:type="dxa"/>
              <w:right w:w="90" w:type="dxa"/>
            </w:tcMar>
          </w:tcPr>
          <w:p>
            <w:pPr>
              <w:spacing w:after="0" w:line="245" w:lineRule="auto"/>
            </w:pPr>
            <w:r>
              <w:rPr>
                <w:sz w:val="20"/>
              </w:rPr>
              <w:t>Qualified to buy</w:t>
            </w:r>
          </w:p>
        </w:tc>
        <w:tc>
          <w:tcPr>
            <w:tcW w:type="dxa" w:w="7920"/>
            <w:vAlign w:val="center"/>
            <w:shd w:fill="F3F3F3"/>
            <w:tcMar>
              <w:top w:w="75" w:type="dxa"/>
              <w:bottom w:w="75" w:type="dxa"/>
              <w:left w:w="90" w:type="dxa"/>
              <w:right w:w="90" w:type="dxa"/>
            </w:tcMar>
          </w:tcPr>
          <w:p>
            <w:pPr>
              <w:spacing w:after="0" w:line="245" w:lineRule="auto"/>
            </w:pPr>
            <w:r>
              <w:rPr>
                <w:sz w:val="20"/>
              </w:rPr>
              <w:t>Budget owner, existing counterparty, intended network and asset, timing, and success criteria known.</w:t>
            </w:r>
          </w:p>
        </w:tc>
      </w:tr>
      <w:tr>
        <w:trPr>
          <w:cantSplit/>
        </w:trPr>
        <w:tc>
          <w:tcPr>
            <w:tcW w:type="dxa" w:w="2160"/>
            <w:vAlign w:val="center"/>
            <w:shd w:fill="FFFFFF"/>
            <w:tcMar>
              <w:top w:w="75" w:type="dxa"/>
              <w:bottom w:w="75" w:type="dxa"/>
              <w:left w:w="90" w:type="dxa"/>
              <w:right w:w="90" w:type="dxa"/>
            </w:tcMar>
          </w:tcPr>
          <w:p>
            <w:pPr>
              <w:spacing w:after="0" w:line="245" w:lineRule="auto"/>
            </w:pPr>
            <w:r>
              <w:rPr>
                <w:sz w:val="20"/>
              </w:rPr>
              <w:t>Paid evaluation</w:t>
            </w:r>
          </w:p>
        </w:tc>
        <w:tc>
          <w:tcPr>
            <w:tcW w:type="dxa" w:w="7920"/>
            <w:vAlign w:val="center"/>
            <w:shd w:fill="FFFFFF"/>
            <w:tcMar>
              <w:top w:w="75" w:type="dxa"/>
              <w:bottom w:w="75" w:type="dxa"/>
              <w:left w:w="90" w:type="dxa"/>
              <w:right w:w="90" w:type="dxa"/>
            </w:tcMar>
          </w:tcPr>
          <w:p>
            <w:pPr>
              <w:spacing w:after="0" w:line="245" w:lineRule="auto"/>
            </w:pPr>
            <w:r>
              <w:rPr>
                <w:sz w:val="20"/>
              </w:rPr>
              <w:t>Agreed scope and actual payment; track as service revenue.</w:t>
            </w:r>
          </w:p>
        </w:tc>
      </w:tr>
      <w:tr>
        <w:trPr>
          <w:cantSplit/>
        </w:trPr>
        <w:tc>
          <w:tcPr>
            <w:tcW w:type="dxa" w:w="2160"/>
            <w:vAlign w:val="center"/>
            <w:shd w:fill="F3F3F3"/>
            <w:tcMar>
              <w:top w:w="75" w:type="dxa"/>
              <w:bottom w:w="75" w:type="dxa"/>
              <w:left w:w="90" w:type="dxa"/>
              <w:right w:w="90" w:type="dxa"/>
            </w:tcMar>
          </w:tcPr>
          <w:p>
            <w:pPr>
              <w:spacing w:after="0" w:line="245" w:lineRule="auto"/>
            </w:pPr>
            <w:r>
              <w:rPr>
                <w:sz w:val="20"/>
              </w:rPr>
              <w:t>Repeat use</w:t>
            </w:r>
          </w:p>
        </w:tc>
        <w:tc>
          <w:tcPr>
            <w:tcW w:type="dxa" w:w="7920"/>
            <w:vAlign w:val="center"/>
            <w:shd w:fill="F3F3F3"/>
            <w:tcMar>
              <w:top w:w="75" w:type="dxa"/>
              <w:bottom w:w="75" w:type="dxa"/>
              <w:left w:w="90" w:type="dxa"/>
              <w:right w:w="90" w:type="dxa"/>
            </w:tcMar>
          </w:tcPr>
          <w:p>
            <w:pPr>
              <w:spacing w:after="0" w:line="245" w:lineRule="auto"/>
            </w:pPr>
            <w:r>
              <w:rPr>
                <w:sz w:val="20"/>
              </w:rPr>
              <w:t>The same company uses the same core workflow again without a fresh bespoke project.</w:t>
            </w:r>
          </w:p>
        </w:tc>
      </w:tr>
      <w:tr>
        <w:trPr>
          <w:cantSplit/>
        </w:trPr>
        <w:tc>
          <w:tcPr>
            <w:tcW w:type="dxa" w:w="2160"/>
            <w:vAlign w:val="center"/>
            <w:shd w:fill="FFFFFF"/>
            <w:tcMar>
              <w:top w:w="75" w:type="dxa"/>
              <w:bottom w:w="75" w:type="dxa"/>
              <w:left w:w="90" w:type="dxa"/>
              <w:right w:w="90" w:type="dxa"/>
            </w:tcMar>
          </w:tcPr>
          <w:p>
            <w:pPr>
              <w:spacing w:after="0" w:line="245" w:lineRule="auto"/>
            </w:pPr>
            <w:r>
              <w:rPr>
                <w:sz w:val="20"/>
              </w:rPr>
              <w:t>Subscription</w:t>
            </w:r>
          </w:p>
        </w:tc>
        <w:tc>
          <w:tcPr>
            <w:tcW w:type="dxa" w:w="7920"/>
            <w:vAlign w:val="center"/>
            <w:shd w:fill="FFFFFF"/>
            <w:tcMar>
              <w:top w:w="75" w:type="dxa"/>
              <w:bottom w:w="75" w:type="dxa"/>
              <w:left w:w="90" w:type="dxa"/>
              <w:right w:w="90" w:type="dxa"/>
            </w:tcMar>
          </w:tcPr>
          <w:p>
            <w:pPr>
              <w:spacing w:after="0" w:line="245" w:lineRule="auto"/>
            </w:pPr>
            <w:r>
              <w:rPr>
                <w:sz w:val="20"/>
              </w:rPr>
              <w:t>Recurring agreement, billed period, actual payment, renewal, and support cost.</w:t>
            </w:r>
          </w:p>
        </w:tc>
      </w:tr>
    </w:tbl>
    <w:p>
      <w:pPr>
        <w:spacing w:after="0"/>
      </w:pPr>
    </w:p>
    <w:p>
      <w:r>
        <w:t>Record companies, not agent instances. Exclude team demos from external activation. Keep grant income, integration fees, subscription revenue, and payment volume in separate fields. Public post views are not unique people and are not a substitute for any of these stages.</w:t>
      </w:r>
      <w:r>
        <w:rPr>
          <w:vertAlign w:val="superscript"/>
        </w:rPr>
        <w:footnoteReference w:id="12"/>
      </w:r>
      <w:r/>
    </w:p>
    <w:p>
      <w:pPr>
        <w:pStyle w:val="Heading2"/>
      </w:pPr>
      <w:r>
        <w:t>Weekly decision sheet</w:t>
      </w:r>
    </w:p>
    <w:p>
      <w:r>
        <w:t>Answer five questions: Which content produced a qualified next step? Where did outside builders stall? Which buyer problem repeated? What did someone actually commit to? Which assumption should change next week? Use the answers to select the following week’s three or four originals.</w:t>
      </w:r>
    </w:p>
    <w:p>
      <w:pPr>
        <w:pStyle w:val="Heading1"/>
        <w:pageBreakBefore/>
      </w:pPr>
      <w:r>
        <w:t>Handling a breakout or a quiet post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shd w:fill="333333"/>
            <w:tcMar>
              <w:top w:w="75" w:type="dxa"/>
              <w:bottom w:w="75" w:type="dxa"/>
              <w:left w:w="90" w:type="dxa"/>
              <w:right w:w="90" w:type="dxa"/>
            </w:tcMar>
          </w:tcPr>
          <w:p>
            <w:pPr>
              <w:spacing w:after="0" w:line="245" w:lineRule="auto"/>
            </w:pPr>
            <w:r>
              <w:rPr>
                <w:b/>
                <w:color w:val="FFFFFF"/>
                <w:sz w:val="20"/>
              </w:rPr>
              <w:t>Situation</w:t>
            </w:r>
          </w:p>
        </w:tc>
        <w:tc>
          <w:tcPr>
            <w:tcW w:type="dxa" w:w="7128"/>
            <w:vAlign w:val="center"/>
            <w:shd w:fill="333333"/>
            <w:tcMar>
              <w:top w:w="75" w:type="dxa"/>
              <w:bottom w:w="75" w:type="dxa"/>
              <w:left w:w="90" w:type="dxa"/>
              <w:right w:w="90" w:type="dxa"/>
            </w:tcMar>
          </w:tcPr>
          <w:p>
            <w:pPr>
              <w:spacing w:after="0" w:line="245" w:lineRule="auto"/>
            </w:pPr>
            <w:r>
              <w:rPr>
                <w:b/>
                <w:color w:val="FFFFFF"/>
                <w:sz w:val="20"/>
              </w:rPr>
              <w:t>Action</w:t>
            </w:r>
          </w:p>
        </w:tc>
      </w:tr>
      <w:tr>
        <w:trPr>
          <w:cantSplit/>
        </w:trPr>
        <w:tc>
          <w:tcPr>
            <w:tcW w:type="dxa" w:w="2952"/>
            <w:vAlign w:val="center"/>
            <w:shd w:fill="FFFFFF"/>
            <w:tcMar>
              <w:top w:w="75" w:type="dxa"/>
              <w:bottom w:w="75" w:type="dxa"/>
              <w:left w:w="90" w:type="dxa"/>
              <w:right w:w="90" w:type="dxa"/>
            </w:tcMar>
          </w:tcPr>
          <w:p>
            <w:pPr>
              <w:spacing w:after="0" w:line="245" w:lineRule="auto"/>
            </w:pPr>
            <w:r>
              <w:rPr>
                <w:sz w:val="20"/>
              </w:rPr>
              <w:t>A post gets unusual reach</w:t>
            </w:r>
          </w:p>
        </w:tc>
        <w:tc>
          <w:tcPr>
            <w:tcW w:type="dxa" w:w="7128"/>
            <w:vAlign w:val="center"/>
            <w:shd w:fill="FFFFFF"/>
            <w:tcMar>
              <w:top w:w="75" w:type="dxa"/>
              <w:bottom w:w="75" w:type="dxa"/>
              <w:left w:w="90" w:type="dxa"/>
              <w:right w:w="90" w:type="dxa"/>
            </w:tcMar>
          </w:tcPr>
          <w:p>
            <w:pPr>
              <w:spacing w:after="0" w:line="245" w:lineRule="auto"/>
            </w:pPr>
            <w:r>
              <w:rPr>
                <w:sz w:val="20"/>
              </w:rPr>
              <w:t>Answer substantive questions, make the next action easy to find, and capture which audience arrived. Publish a distinct follow-up within one or two days if there is new evidence.</w:t>
            </w:r>
          </w:p>
        </w:tc>
      </w:tr>
      <w:tr>
        <w:trPr>
          <w:cantSplit/>
        </w:trPr>
        <w:tc>
          <w:tcPr>
            <w:tcW w:type="dxa" w:w="2952"/>
            <w:vAlign w:val="center"/>
            <w:shd w:fill="F3F3F3"/>
            <w:tcMar>
              <w:top w:w="75" w:type="dxa"/>
              <w:bottom w:w="75" w:type="dxa"/>
              <w:left w:w="90" w:type="dxa"/>
              <w:right w:w="90" w:type="dxa"/>
            </w:tcMar>
          </w:tcPr>
          <w:p>
            <w:pPr>
              <w:spacing w:after="0" w:line="245" w:lineRule="auto"/>
            </w:pPr>
            <w:r>
              <w:rPr>
                <w:sz w:val="20"/>
              </w:rPr>
              <w:t>Many views, few visits</w:t>
            </w:r>
          </w:p>
        </w:tc>
        <w:tc>
          <w:tcPr>
            <w:tcW w:type="dxa" w:w="7128"/>
            <w:vAlign w:val="center"/>
            <w:shd w:fill="F3F3F3"/>
            <w:tcMar>
              <w:top w:w="75" w:type="dxa"/>
              <w:bottom w:w="75" w:type="dxa"/>
              <w:left w:w="90" w:type="dxa"/>
              <w:right w:w="90" w:type="dxa"/>
            </w:tcMar>
          </w:tcPr>
          <w:p>
            <w:pPr>
              <w:spacing w:after="0" w:line="245" w:lineRule="auto"/>
            </w:pPr>
            <w:r>
              <w:rPr>
                <w:sz w:val="20"/>
              </w:rPr>
              <w:t>Check CTA visibility, audience relevance, and measurement. Try a direct start link. Do not assume the only fix is a more dramatic hook.</w:t>
            </w:r>
          </w:p>
        </w:tc>
      </w:tr>
      <w:tr>
        <w:trPr>
          <w:cantSplit/>
        </w:trPr>
        <w:tc>
          <w:tcPr>
            <w:tcW w:type="dxa" w:w="2952"/>
            <w:vAlign w:val="center"/>
            <w:shd w:fill="FFFFFF"/>
            <w:tcMar>
              <w:top w:w="75" w:type="dxa"/>
              <w:bottom w:w="75" w:type="dxa"/>
              <w:left w:w="90" w:type="dxa"/>
              <w:right w:w="90" w:type="dxa"/>
            </w:tcMar>
          </w:tcPr>
          <w:p>
            <w:pPr>
              <w:spacing w:after="0" w:line="245" w:lineRule="auto"/>
            </w:pPr>
            <w:r>
              <w:rPr>
                <w:sz w:val="20"/>
              </w:rPr>
              <w:t>Visits, few mock completions</w:t>
            </w:r>
          </w:p>
        </w:tc>
        <w:tc>
          <w:tcPr>
            <w:tcW w:type="dxa" w:w="7128"/>
            <w:vAlign w:val="center"/>
            <w:shd w:fill="FFFFFF"/>
            <w:tcMar>
              <w:top w:w="75" w:type="dxa"/>
              <w:bottom w:w="75" w:type="dxa"/>
              <w:left w:w="90" w:type="dxa"/>
              <w:right w:w="90" w:type="dxa"/>
            </w:tcMar>
          </w:tcPr>
          <w:p>
            <w:pPr>
              <w:spacing w:after="0" w:line="245" w:lineRule="auto"/>
            </w:pPr>
            <w:r>
              <w:rPr>
                <w:sz w:val="20"/>
              </w:rPr>
              <w:t>Watch an outside installation. Fix the first observed blocker before expanding content volume.</w:t>
            </w:r>
          </w:p>
        </w:tc>
      </w:tr>
      <w:tr>
        <w:trPr>
          <w:cantSplit/>
        </w:trPr>
        <w:tc>
          <w:tcPr>
            <w:tcW w:type="dxa" w:w="2952"/>
            <w:vAlign w:val="center"/>
            <w:shd w:fill="F3F3F3"/>
            <w:tcMar>
              <w:top w:w="75" w:type="dxa"/>
              <w:bottom w:w="75" w:type="dxa"/>
              <w:left w:w="90" w:type="dxa"/>
              <w:right w:w="90" w:type="dxa"/>
            </w:tcMar>
          </w:tcPr>
          <w:p>
            <w:pPr>
              <w:spacing w:after="0" w:line="245" w:lineRule="auto"/>
            </w:pPr>
            <w:r>
              <w:rPr>
                <w:sz w:val="20"/>
              </w:rPr>
              <w:t>Mock use, no buyer interest</w:t>
            </w:r>
          </w:p>
        </w:tc>
        <w:tc>
          <w:tcPr>
            <w:tcW w:type="dxa" w:w="7128"/>
            <w:vAlign w:val="center"/>
            <w:shd w:fill="F3F3F3"/>
            <w:tcMar>
              <w:top w:w="75" w:type="dxa"/>
              <w:bottom w:w="75" w:type="dxa"/>
              <w:left w:w="90" w:type="dxa"/>
              <w:right w:w="90" w:type="dxa"/>
            </w:tcMar>
          </w:tcPr>
          <w:p>
            <w:pPr>
              <w:spacing w:after="0" w:line="245" w:lineRule="auto"/>
            </w:pPr>
            <w:r>
              <w:rPr>
                <w:sz w:val="20"/>
              </w:rPr>
              <w:t>Separate developer curiosity from the payment job. Interview operators and test the scoped offer.</w:t>
            </w:r>
          </w:p>
        </w:tc>
      </w:tr>
      <w:tr>
        <w:trPr>
          <w:cantSplit/>
        </w:trPr>
        <w:tc>
          <w:tcPr>
            <w:tcW w:type="dxa" w:w="2952"/>
            <w:vAlign w:val="center"/>
            <w:shd w:fill="FFFFFF"/>
            <w:tcMar>
              <w:top w:w="75" w:type="dxa"/>
              <w:bottom w:w="75" w:type="dxa"/>
              <w:left w:w="90" w:type="dxa"/>
              <w:right w:w="90" w:type="dxa"/>
            </w:tcMar>
          </w:tcPr>
          <w:p>
            <w:pPr>
              <w:spacing w:after="0" w:line="245" w:lineRule="auto"/>
            </w:pPr>
            <w:r>
              <w:rPr>
                <w:sz w:val="20"/>
              </w:rPr>
              <w:t>Buyer interest, no payment</w:t>
            </w:r>
          </w:p>
        </w:tc>
        <w:tc>
          <w:tcPr>
            <w:tcW w:type="dxa" w:w="7128"/>
            <w:vAlign w:val="center"/>
            <w:shd w:fill="FFFFFF"/>
            <w:tcMar>
              <w:top w:w="75" w:type="dxa"/>
              <w:bottom w:w="75" w:type="dxa"/>
              <w:left w:w="90" w:type="dxa"/>
              <w:right w:w="90" w:type="dxa"/>
            </w:tcMar>
          </w:tcPr>
          <w:p>
            <w:pPr>
              <w:spacing w:after="0" w:line="245" w:lineRule="auto"/>
            </w:pPr>
            <w:r>
              <w:rPr>
                <w:sz w:val="20"/>
              </w:rPr>
              <w:t>Ask about approval, budget, trust, fees, asset support, timing, and competing tools. Record the reason; do not call it a close.</w:t>
            </w:r>
          </w:p>
        </w:tc>
      </w:tr>
      <w:tr>
        <w:trPr>
          <w:cantSplit/>
        </w:trPr>
        <w:tc>
          <w:tcPr>
            <w:tcW w:type="dxa" w:w="2952"/>
            <w:vAlign w:val="center"/>
            <w:shd w:fill="F3F3F3"/>
            <w:tcMar>
              <w:top w:w="75" w:type="dxa"/>
              <w:bottom w:w="75" w:type="dxa"/>
              <w:left w:w="90" w:type="dxa"/>
              <w:right w:w="90" w:type="dxa"/>
            </w:tcMar>
          </w:tcPr>
          <w:p>
            <w:pPr>
              <w:spacing w:after="0" w:line="245" w:lineRule="auto"/>
            </w:pPr>
            <w:r>
              <w:rPr>
                <w:sz w:val="20"/>
              </w:rPr>
              <w:t>Low reach, strong buyer conversations</w:t>
            </w:r>
          </w:p>
        </w:tc>
        <w:tc>
          <w:tcPr>
            <w:tcW w:type="dxa" w:w="7128"/>
            <w:vAlign w:val="center"/>
            <w:shd w:fill="F3F3F3"/>
            <w:tcMar>
              <w:top w:w="75" w:type="dxa"/>
              <w:bottom w:w="75" w:type="dxa"/>
              <w:left w:w="90" w:type="dxa"/>
              <w:right w:w="90" w:type="dxa"/>
            </w:tcMar>
          </w:tcPr>
          <w:p>
            <w:pPr>
              <w:spacing w:after="0" w:line="245" w:lineRule="auto"/>
            </w:pPr>
            <w:r>
              <w:rPr>
                <w:sz w:val="20"/>
              </w:rPr>
              <w:t>Continue the subject and improve presentation. A small relevant audience can be commercially valuable.</w:t>
            </w:r>
          </w:p>
        </w:tc>
      </w:tr>
      <w:tr>
        <w:trPr>
          <w:cantSplit/>
        </w:trPr>
        <w:tc>
          <w:tcPr>
            <w:tcW w:type="dxa" w:w="2952"/>
            <w:vAlign w:val="center"/>
            <w:shd w:fill="FFFFFF"/>
            <w:tcMar>
              <w:top w:w="75" w:type="dxa"/>
              <w:bottom w:w="75" w:type="dxa"/>
              <w:left w:w="90" w:type="dxa"/>
              <w:right w:w="90" w:type="dxa"/>
            </w:tcMar>
          </w:tcPr>
          <w:p>
            <w:pPr>
              <w:spacing w:after="0" w:line="245" w:lineRule="auto"/>
            </w:pPr>
            <w:r>
              <w:rPr>
                <w:sz w:val="20"/>
              </w:rPr>
              <w:t>No demand after twenty qualified conversations</w:t>
            </w:r>
          </w:p>
        </w:tc>
        <w:tc>
          <w:tcPr>
            <w:tcW w:type="dxa" w:w="7128"/>
            <w:vAlign w:val="center"/>
            <w:shd w:fill="FFFFFF"/>
            <w:tcMar>
              <w:top w:w="75" w:type="dxa"/>
              <w:bottom w:w="75" w:type="dxa"/>
              <w:left w:w="90" w:type="dxa"/>
              <w:right w:w="90" w:type="dxa"/>
            </w:tcMar>
          </w:tcPr>
          <w:p>
            <w:pPr>
              <w:spacing w:after="0" w:line="245" w:lineRule="auto"/>
            </w:pPr>
            <w:r>
              <w:rPr>
                <w:sz w:val="20"/>
              </w:rPr>
              <w:t>Narrow or stop the workspace hypothesis. Consider integration services or a different recurring problem supported by the interviews.</w:t>
            </w:r>
          </w:p>
        </w:tc>
      </w:tr>
    </w:tbl>
    <w:p>
      <w:pPr>
        <w:spacing w:after="0"/>
      </w:pPr>
    </w:p>
    <w:p>
      <w:r>
        <w:t>Community members may share their honest reason for finding the work useful. Avoid coordinated engagement exchanges, copied replies, follow-for-follow, and other artificial metric inflation. There is no evidence-backed promise that any calendar will make subsequent posts viral.</w:t>
      </w:r>
      <w:r>
        <w:rPr>
          <w:vertAlign w:val="superscript"/>
        </w:rPr>
        <w:footnoteReference w:id="13"/>
      </w:r>
      <w:r/>
    </w:p>
    <w:p>
      <w:pPr>
        <w:pStyle w:val="Heading1"/>
        <w:pageBreakBefore/>
      </w:pPr>
      <w:r>
        <w:t>Sources</w:t>
      </w:r>
    </w:p>
    <w:p>
      <w:r>
        <w:t>Source links identify exact pages or frozen repository files. Repository claims are project documentation, not an independent security audit. Public X counters are a point in time observation. Historical marketing examples support operating choices, not current algorithm claims.</w:t>
      </w:r>
    </w:p>
    <w:p>
      <w:pPr>
        <w:spacing w:after="140"/>
      </w:pPr>
      <w:r>
        <w:t xml:space="preserve">1. Erebus. </w:t>
      </w:r>
      <w:hyperlink r:id="rId9">
        <w:r>
          <w:rPr>
            <w:color w:val="333333"/>
            <w:u w:val="single"/>
          </w:rPr>
          <w:t>X profile and launch thread</w:t>
        </w:r>
      </w:hyperlink>
      <w:r>
        <w:t>. 11 September 2026; public counters observed 12 September 2026.</w:t>
      </w:r>
    </w:p>
    <w:p>
      <w:pPr>
        <w:spacing w:after="140"/>
      </w:pPr>
      <w:r>
        <w:t xml:space="preserve">2. Erebus. </w:t>
      </w:r>
      <w:hyperlink r:id="rId10">
        <w:r>
          <w:rPr>
            <w:color w:val="333333"/>
            <w:u w:val="single"/>
          </w:rPr>
          <w:t>Public product site</w:t>
        </w:r>
      </w:hyperlink>
      <w:r>
        <w:t>. Observed 12 September 2026.</w:t>
      </w:r>
    </w:p>
    <w:p>
      <w:pPr>
        <w:spacing w:after="140"/>
      </w:pPr>
      <w:r>
        <w:t xml:space="preserve">3. Erebus. </w:t>
      </w:r>
      <w:hyperlink r:id="rId11">
        <w:r>
          <w:rPr>
            <w:color w:val="333333"/>
            <w:u w:val="single"/>
          </w:rPr>
          <w:t>README</w:t>
        </w:r>
      </w:hyperlink>
      <w:r>
        <w:t>. Repository snapshot 11 September 2026.</w:t>
      </w:r>
    </w:p>
    <w:p>
      <w:pPr>
        <w:spacing w:after="140"/>
      </w:pPr>
      <w:r>
        <w:t xml:space="preserve">4. Erebus. </w:t>
      </w:r>
      <w:hyperlink r:id="rId12">
        <w:r>
          <w:rPr>
            <w:color w:val="333333"/>
            <w:u w:val="single"/>
          </w:rPr>
          <w:t>Privacy model</w:t>
        </w:r>
      </w:hyperlink>
      <w:r>
        <w:t>. Repository snapshot 11 September 2026.</w:t>
      </w:r>
    </w:p>
    <w:p>
      <w:pPr>
        <w:spacing w:after="140"/>
      </w:pPr>
      <w:r>
        <w:t xml:space="preserve">5. Erebus. </w:t>
      </w:r>
      <w:hyperlink r:id="rId13">
        <w:r>
          <w:rPr>
            <w:color w:val="333333"/>
            <w:u w:val="single"/>
          </w:rPr>
          <w:t>Status</w:t>
        </w:r>
      </w:hyperlink>
      <w:r>
        <w:t>. Dated 7 September 2026.</w:t>
      </w:r>
    </w:p>
    <w:p>
      <w:pPr>
        <w:spacing w:after="140"/>
      </w:pPr>
      <w:r>
        <w:t xml:space="preserve">6. Erebus. </w:t>
      </w:r>
      <w:hyperlink r:id="rId14">
        <w:r>
          <w:rPr>
            <w:color w:val="333333"/>
            <w:u w:val="single"/>
          </w:rPr>
          <w:t>Mainnet 2 STRK run across two agent frameworks</w:t>
        </w:r>
      </w:hyperlink>
      <w:r>
        <w:t>. 7 September 2026.</w:t>
      </w:r>
    </w:p>
    <w:p>
      <w:pPr>
        <w:spacing w:after="140"/>
      </w:pPr>
      <w:r>
        <w:t xml:space="preserve">16. X Help. </w:t>
      </w:r>
      <w:hyperlink r:id="rId15">
        <w:r>
          <w:rPr>
            <w:color w:val="333333"/>
            <w:u w:val="single"/>
          </w:rPr>
          <w:t>About view counts</w:t>
        </w:r>
      </w:hyperlink>
      <w:r>
        <w:t>. Accessed 12 September 2026.</w:t>
      </w:r>
    </w:p>
    <w:p>
      <w:pPr>
        <w:spacing w:after="140"/>
      </w:pPr>
      <w:r>
        <w:t xml:space="preserve">19. X Help. </w:t>
      </w:r>
      <w:hyperlink r:id="rId16">
        <w:r>
          <w:rPr>
            <w:color w:val="333333"/>
            <w:u w:val="single"/>
          </w:rPr>
          <w:t>Authenticity policy</w:t>
        </w:r>
      </w:hyperlink>
      <w:r>
        <w:t>. Accessed 12 September 2026.</w:t>
      </w:r>
    </w:p>
    <w:p>
      <w:pPr>
        <w:spacing w:after="140"/>
      </w:pPr>
      <w:r>
        <w:t xml:space="preserve">31. Yijia Shao and coauthors. </w:t>
      </w:r>
      <w:hyperlink r:id="rId17">
        <w:r>
          <w:rPr>
            <w:color w:val="333333"/>
            <w:u w:val="single"/>
          </w:rPr>
          <w:t>PrivacyLens Evaluating Privacy Norm Awareness of Language Models in Action</w:t>
        </w:r>
      </w:hyperlink>
      <w:r>
        <w:t>. NeurIPS 2024; arXiv revision 14 March 2025.</w:t>
      </w:r>
    </w:p>
    <w:p>
      <w:pPr>
        <w:spacing w:after="140"/>
      </w:pPr>
      <w:r>
        <w:t xml:space="preserve">32. Pezeshkpour and Hruschka. </w:t>
      </w:r>
      <w:hyperlink r:id="rId18">
        <w:r>
          <w:rPr>
            <w:color w:val="333333"/>
            <w:u w:val="single"/>
          </w:rPr>
          <w:t>Large Language Models Sensitivity to The Order of Options in Multiple Choice Questions</w:t>
        </w:r>
      </w:hyperlink>
      <w:r>
        <w:t>. Findings of NAACL 2024.</w:t>
      </w:r>
    </w:p>
    <w:p>
      <w:pPr>
        <w:spacing w:after="140"/>
      </w:pPr>
      <w:r>
        <w:t xml:space="preserve">33. Erebus. </w:t>
      </w:r>
      <w:hyperlink r:id="rId19">
        <w:r>
          <w:rPr>
            <w:color w:val="333333"/>
            <w:u w:val="single"/>
          </w:rPr>
          <w:t>Enable Vercel Web Analytics</w:t>
        </w:r>
      </w:hyperlink>
      <w:r>
        <w:t>. 11 September 2026.</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spacing w:after="35"/>
      </w:pPr>
      <w:r>
        <w:footnoteRef/>
      </w:r>
      <w:r>
        <w:rPr>
          <w:sz w:val="17"/>
        </w:rPr>
        <w:t xml:space="preserve"> Erebus, </w:t>
      </w:r>
      <w:hyperlink r:id="rId1_0">
        <w:r>
          <w:rPr>
            <w:sz w:val="17"/>
            <w:u w:val="single"/>
          </w:rPr>
          <w:t>X profile and launch thread</w:t>
        </w:r>
      </w:hyperlink>
      <w:r>
        <w:rPr>
          <w:sz w:val="17"/>
        </w:rPr>
        <w:t xml:space="preserve"> (11 September 2026; public counters observed 12 September 2026)</w:t>
      </w:r>
      <w:r>
        <w:rPr>
          <w:sz w:val="17"/>
        </w:rPr>
        <w:t xml:space="preserve">; Erebus, </w:t>
      </w:r>
      <w:hyperlink r:id="rId1_1">
        <w:r>
          <w:rPr>
            <w:sz w:val="17"/>
            <w:u w:val="single"/>
          </w:rPr>
          <w:t>README</w:t>
        </w:r>
      </w:hyperlink>
      <w:r>
        <w:rPr>
          <w:sz w:val="17"/>
        </w:rPr>
        <w:t xml:space="preserve"> (Repository snapshot 11 September 2026)</w:t>
      </w:r>
      <w:r>
        <w:rPr>
          <w:sz w:val="17"/>
        </w:rPr>
        <w:t xml:space="preserve">; Erebus, </w:t>
      </w:r>
      <w:hyperlink r:id="rId1_2">
        <w:r>
          <w:rPr>
            <w:sz w:val="17"/>
            <w:u w:val="single"/>
          </w:rPr>
          <w:t>Status</w:t>
        </w:r>
      </w:hyperlink>
      <w:r>
        <w:rPr>
          <w:sz w:val="17"/>
        </w:rPr>
        <w:t xml:space="preserve"> (Dated 7 September 2026)</w:t>
      </w:r>
      <w:r>
        <w:rPr>
          <w:sz w:val="17"/>
        </w:rPr>
        <w:t xml:space="preserve">; Erebus, </w:t>
      </w:r>
      <w:hyperlink r:id="rId1_3">
        <w:r>
          <w:rPr>
            <w:sz w:val="17"/>
            <w:u w:val="single"/>
          </w:rPr>
          <w:t>Mainnet 2 STRK run across two agent frameworks</w:t>
        </w:r>
      </w:hyperlink>
      <w:r>
        <w:rPr>
          <w:sz w:val="17"/>
        </w:rPr>
        <w:t xml:space="preserve"> (7 September 2026)</w:t>
      </w:r>
      <w:r>
        <w:rPr>
          <w:sz w:val="17"/>
        </w:rPr>
        <w:t xml:space="preserve">; X Help, </w:t>
      </w:r>
      <w:hyperlink r:id="rId1_4">
        <w:r>
          <w:rPr>
            <w:sz w:val="17"/>
            <w:u w:val="single"/>
          </w:rPr>
          <w:t>About view counts</w:t>
        </w:r>
      </w:hyperlink>
      <w:r>
        <w:rPr>
          <w:sz w:val="17"/>
        </w:rPr>
        <w:t xml:space="preserve"> (Accessed 12 September 2026).</w:t>
      </w:r>
    </w:p>
  </w:footnote>
  <w:footnote w:id="2">
    <w:p>
      <w:pPr>
        <w:spacing w:after="35"/>
      </w:pPr>
      <w:r>
        <w:footnoteRef/>
      </w:r>
      <w:r>
        <w:rPr>
          <w:sz w:val="17"/>
        </w:rPr>
        <w:t xml:space="preserve"> Erebus, </w:t>
      </w:r>
      <w:hyperlink r:id="rId2_0">
        <w:r>
          <w:rPr>
            <w:sz w:val="17"/>
            <w:u w:val="single"/>
          </w:rPr>
          <w:t>Mainnet 2 STRK run across two agent frameworks</w:t>
        </w:r>
      </w:hyperlink>
      <w:r>
        <w:rPr>
          <w:sz w:val="17"/>
        </w:rPr>
        <w:t xml:space="preserve"> (7 September 2026).</w:t>
      </w:r>
    </w:p>
  </w:footnote>
  <w:footnote w:id="3">
    <w:p>
      <w:pPr>
        <w:spacing w:after="35"/>
      </w:pPr>
      <w:r>
        <w:footnoteRef/>
      </w:r>
      <w:r>
        <w:rPr>
          <w:sz w:val="17"/>
        </w:rPr>
        <w:t xml:space="preserve"> Erebus, </w:t>
      </w:r>
      <w:hyperlink r:id="rId3_0">
        <w:r>
          <w:rPr>
            <w:sz w:val="17"/>
            <w:u w:val="single"/>
          </w:rPr>
          <w:t>Privacy model</w:t>
        </w:r>
      </w:hyperlink>
      <w:r>
        <w:rPr>
          <w:sz w:val="17"/>
        </w:rPr>
        <w:t xml:space="preserve"> (Repository snapshot 11 September 2026).</w:t>
      </w:r>
    </w:p>
  </w:footnote>
  <w:footnote w:id="4">
    <w:p>
      <w:pPr>
        <w:spacing w:after="35"/>
      </w:pPr>
      <w:r>
        <w:footnoteRef/>
      </w:r>
      <w:r>
        <w:rPr>
          <w:sz w:val="17"/>
        </w:rPr>
        <w:t xml:space="preserve"> Erebus, </w:t>
      </w:r>
      <w:hyperlink r:id="rId4_0">
        <w:r>
          <w:rPr>
            <w:sz w:val="17"/>
            <w:u w:val="single"/>
          </w:rPr>
          <w:t>README</w:t>
        </w:r>
      </w:hyperlink>
      <w:r>
        <w:rPr>
          <w:sz w:val="17"/>
        </w:rPr>
        <w:t xml:space="preserve"> (Repository snapshot 11 September 2026)</w:t>
      </w:r>
      <w:r>
        <w:rPr>
          <w:sz w:val="17"/>
        </w:rPr>
        <w:t xml:space="preserve">; Erebus, </w:t>
      </w:r>
      <w:hyperlink r:id="rId4_1">
        <w:r>
          <w:rPr>
            <w:sz w:val="17"/>
            <w:u w:val="single"/>
          </w:rPr>
          <w:t>Privacy model</w:t>
        </w:r>
      </w:hyperlink>
      <w:r>
        <w:rPr>
          <w:sz w:val="17"/>
        </w:rPr>
        <w:t xml:space="preserve"> (Repository snapshot 11 September 2026).</w:t>
      </w:r>
    </w:p>
  </w:footnote>
  <w:footnote w:id="5">
    <w:p>
      <w:pPr>
        <w:spacing w:after="35"/>
      </w:pPr>
      <w:r>
        <w:footnoteRef/>
      </w:r>
      <w:r>
        <w:rPr>
          <w:sz w:val="17"/>
        </w:rPr>
        <w:t xml:space="preserve"> Erebus, </w:t>
      </w:r>
      <w:hyperlink r:id="rId5_0">
        <w:r>
          <w:rPr>
            <w:sz w:val="17"/>
            <w:u w:val="single"/>
          </w:rPr>
          <w:t>Privacy model</w:t>
        </w:r>
      </w:hyperlink>
      <w:r>
        <w:rPr>
          <w:sz w:val="17"/>
        </w:rPr>
        <w:t xml:space="preserve"> (Repository snapshot 11 September 2026).</w:t>
      </w:r>
    </w:p>
  </w:footnote>
  <w:footnote w:id="6">
    <w:p>
      <w:pPr>
        <w:spacing w:after="35"/>
      </w:pPr>
      <w:r>
        <w:footnoteRef/>
      </w:r>
      <w:r>
        <w:rPr>
          <w:sz w:val="17"/>
        </w:rPr>
        <w:t xml:space="preserve"> Erebus, </w:t>
      </w:r>
      <w:hyperlink r:id="rId6_0">
        <w:r>
          <w:rPr>
            <w:sz w:val="17"/>
            <w:u w:val="single"/>
          </w:rPr>
          <w:t>Privacy model</w:t>
        </w:r>
      </w:hyperlink>
      <w:r>
        <w:rPr>
          <w:sz w:val="17"/>
        </w:rPr>
        <w:t xml:space="preserve"> (Repository snapshot 11 September 2026).</w:t>
      </w:r>
    </w:p>
  </w:footnote>
  <w:footnote w:id="7">
    <w:p>
      <w:pPr>
        <w:spacing w:after="35"/>
      </w:pPr>
      <w:r>
        <w:footnoteRef/>
      </w:r>
      <w:r>
        <w:rPr>
          <w:sz w:val="17"/>
        </w:rPr>
        <w:t xml:space="preserve"> Erebus, </w:t>
      </w:r>
      <w:hyperlink r:id="rId7_0">
        <w:r>
          <w:rPr>
            <w:sz w:val="17"/>
            <w:u w:val="single"/>
          </w:rPr>
          <w:t>Mainnet 2 STRK run across two agent frameworks</w:t>
        </w:r>
      </w:hyperlink>
      <w:r>
        <w:rPr>
          <w:sz w:val="17"/>
        </w:rPr>
        <w:t xml:space="preserve"> (7 September 2026).</w:t>
      </w:r>
    </w:p>
  </w:footnote>
  <w:footnote w:id="8">
    <w:p>
      <w:pPr>
        <w:spacing w:after="35"/>
      </w:pPr>
      <w:r>
        <w:footnoteRef/>
      </w:r>
      <w:r>
        <w:rPr>
          <w:sz w:val="17"/>
        </w:rPr>
        <w:t xml:space="preserve"> Erebus, </w:t>
      </w:r>
      <w:hyperlink r:id="rId8_0">
        <w:r>
          <w:rPr>
            <w:sz w:val="17"/>
            <w:u w:val="single"/>
          </w:rPr>
          <w:t>Privacy model</w:t>
        </w:r>
      </w:hyperlink>
      <w:r>
        <w:rPr>
          <w:sz w:val="17"/>
        </w:rPr>
        <w:t xml:space="preserve"> (Repository snapshot 11 September 2026)</w:t>
      </w:r>
      <w:r>
        <w:rPr>
          <w:sz w:val="17"/>
        </w:rPr>
        <w:t xml:space="preserve">; Erebus, </w:t>
      </w:r>
      <w:hyperlink r:id="rId8_1">
        <w:r>
          <w:rPr>
            <w:sz w:val="17"/>
            <w:u w:val="single"/>
          </w:rPr>
          <w:t>Status</w:t>
        </w:r>
      </w:hyperlink>
      <w:r>
        <w:rPr>
          <w:sz w:val="17"/>
        </w:rPr>
        <w:t xml:space="preserve"> (Dated 7 September 2026).</w:t>
      </w:r>
    </w:p>
  </w:footnote>
  <w:footnote w:id="9">
    <w:p>
      <w:pPr>
        <w:spacing w:after="35"/>
      </w:pPr>
      <w:r>
        <w:footnoteRef/>
      </w:r>
      <w:r>
        <w:rPr>
          <w:sz w:val="17"/>
        </w:rPr>
        <w:t xml:space="preserve"> Erebus, </w:t>
      </w:r>
      <w:hyperlink r:id="rId9_0">
        <w:r>
          <w:rPr>
            <w:sz w:val="17"/>
            <w:u w:val="single"/>
          </w:rPr>
          <w:t>Public product site</w:t>
        </w:r>
      </w:hyperlink>
      <w:r>
        <w:rPr>
          <w:sz w:val="17"/>
        </w:rPr>
        <w:t xml:space="preserve"> (Observed 12 September 2026)</w:t>
      </w:r>
      <w:r>
        <w:rPr>
          <w:sz w:val="17"/>
        </w:rPr>
        <w:t xml:space="preserve">; Erebus, </w:t>
      </w:r>
      <w:hyperlink r:id="rId9_1">
        <w:r>
          <w:rPr>
            <w:sz w:val="17"/>
            <w:u w:val="single"/>
          </w:rPr>
          <w:t>README</w:t>
        </w:r>
      </w:hyperlink>
      <w:r>
        <w:rPr>
          <w:sz w:val="17"/>
        </w:rPr>
        <w:t xml:space="preserve"> (Repository snapshot 11 September 2026).</w:t>
      </w:r>
    </w:p>
  </w:footnote>
  <w:footnote w:id="10">
    <w:p>
      <w:pPr>
        <w:spacing w:after="35"/>
      </w:pPr>
      <w:r>
        <w:footnoteRef/>
      </w:r>
      <w:r>
        <w:rPr>
          <w:sz w:val="17"/>
        </w:rPr>
        <w:t xml:space="preserve"> Yijia Shao and coauthors, </w:t>
      </w:r>
      <w:hyperlink r:id="rId10_0">
        <w:r>
          <w:rPr>
            <w:sz w:val="17"/>
            <w:u w:val="single"/>
          </w:rPr>
          <w:t>PrivacyLens Evaluating Privacy Norm Awareness of Language Models in Action</w:t>
        </w:r>
      </w:hyperlink>
      <w:r>
        <w:rPr>
          <w:sz w:val="17"/>
        </w:rPr>
        <w:t xml:space="preserve"> (NeurIPS 2024; arXiv revision 14 March 2025)</w:t>
      </w:r>
      <w:r>
        <w:rPr>
          <w:sz w:val="17"/>
        </w:rPr>
        <w:t xml:space="preserve">; Pezeshkpour and Hruschka, </w:t>
      </w:r>
      <w:hyperlink r:id="rId10_1">
        <w:r>
          <w:rPr>
            <w:sz w:val="17"/>
            <w:u w:val="single"/>
          </w:rPr>
          <w:t>Large Language Models Sensitivity to The Order of Options in Multiple Choice Questions</w:t>
        </w:r>
      </w:hyperlink>
      <w:r>
        <w:rPr>
          <w:sz w:val="17"/>
        </w:rPr>
        <w:t xml:space="preserve"> (Findings of NAACL 2024).</w:t>
      </w:r>
    </w:p>
  </w:footnote>
  <w:footnote w:id="11">
    <w:p>
      <w:pPr>
        <w:spacing w:after="35"/>
      </w:pPr>
      <w:r>
        <w:footnoteRef/>
      </w:r>
      <w:r>
        <w:rPr>
          <w:sz w:val="17"/>
        </w:rPr>
        <w:t xml:space="preserve"> Erebus, </w:t>
      </w:r>
      <w:hyperlink r:id="rId11_0">
        <w:r>
          <w:rPr>
            <w:sz w:val="17"/>
            <w:u w:val="single"/>
          </w:rPr>
          <w:t>Enable Vercel Web Analytics</w:t>
        </w:r>
      </w:hyperlink>
      <w:r>
        <w:rPr>
          <w:sz w:val="17"/>
        </w:rPr>
        <w:t xml:space="preserve"> (11 September 2026).</w:t>
      </w:r>
    </w:p>
  </w:footnote>
  <w:footnote w:id="12">
    <w:p>
      <w:pPr>
        <w:spacing w:after="35"/>
      </w:pPr>
      <w:r>
        <w:footnoteRef/>
      </w:r>
      <w:r>
        <w:rPr>
          <w:sz w:val="17"/>
        </w:rPr>
        <w:t xml:space="preserve"> X Help, </w:t>
      </w:r>
      <w:hyperlink r:id="rId12_0">
        <w:r>
          <w:rPr>
            <w:sz w:val="17"/>
            <w:u w:val="single"/>
          </w:rPr>
          <w:t>About view counts</w:t>
        </w:r>
      </w:hyperlink>
      <w:r>
        <w:rPr>
          <w:sz w:val="17"/>
        </w:rPr>
        <w:t xml:space="preserve"> (Accessed 12 September 2026).</w:t>
      </w:r>
    </w:p>
  </w:footnote>
  <w:footnote w:id="13">
    <w:p>
      <w:pPr>
        <w:spacing w:after="35"/>
      </w:pPr>
      <w:r>
        <w:footnoteRef/>
      </w:r>
      <w:r>
        <w:rPr>
          <w:sz w:val="17"/>
        </w:rPr>
        <w:t xml:space="preserve"> X Help, </w:t>
      </w:r>
      <w:hyperlink r:id="rId13_0">
        <w:r>
          <w:rPr>
            <w:sz w:val="17"/>
            <w:u w:val="single"/>
          </w:rPr>
          <w:t>Authenticity policy</w:t>
        </w:r>
      </w:hyperlink>
      <w:r>
        <w:rPr>
          <w:sz w:val="17"/>
        </w:rPr>
        <w:t xml:space="preserve"> (Accessed 12 September 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Erebus_pvt/status/2098411999470424286" TargetMode="External"/><Relationship Id="rId10" Type="http://schemas.openxmlformats.org/officeDocument/2006/relationships/hyperlink" Target="https://erebusagents.live/" TargetMode="External"/><Relationship Id="rId11" Type="http://schemas.openxmlformats.org/officeDocument/2006/relationships/hyperlink" Target="https://github.com/PoulavBhowmick03/Erebus/blob/c7795cd297e26bff71c7b524257b2c0723402d23/README.md" TargetMode="External"/><Relationship Id="rId12" Type="http://schemas.openxmlformats.org/officeDocument/2006/relationships/hyperlink" Target="https://github.com/PoulavBhowmick03/Erebus/blob/c7795cd297e26bff71c7b524257b2c0723402d23/docs/privacy-model.md" TargetMode="External"/><Relationship Id="rId13" Type="http://schemas.openxmlformats.org/officeDocument/2006/relationships/hyperlink" Target="https://github.com/PoulavBhowmick03/Erebus/blob/c7795cd297e26bff71c7b524257b2c0723402d23/docs/status.md" TargetMode="External"/><Relationship Id="rId14" Type="http://schemas.openxmlformats.org/officeDocument/2006/relationships/hyperlink" Target="https://github.com/PoulavBhowmick03/Erebus/blob/c7795cd297e26bff71c7b524257b2c0723402d23/docs/runs/2026-09-07-mainnet-2strk-agents.md" TargetMode="External"/><Relationship Id="rId15" Type="http://schemas.openxmlformats.org/officeDocument/2006/relationships/hyperlink" Target="https://help.x.com/en/using-x/view-counts" TargetMode="External"/><Relationship Id="rId16" Type="http://schemas.openxmlformats.org/officeDocument/2006/relationships/hyperlink" Target="https://help.x.com/en/rules-and-policies/authenticity" TargetMode="External"/><Relationship Id="rId17" Type="http://schemas.openxmlformats.org/officeDocument/2006/relationships/hyperlink" Target="https://arxiv.org/abs/2409.00138" TargetMode="External"/><Relationship Id="rId18" Type="http://schemas.openxmlformats.org/officeDocument/2006/relationships/hyperlink" Target="https://aclanthology.org/2024.findings-naacl.130/" TargetMode="External"/><Relationship Id="rId19" Type="http://schemas.openxmlformats.org/officeDocument/2006/relationships/hyperlink" Target="https://github.com/PoulavBhowmick03/Erebus/commit/c7795cd297e26bff71c7b524257b2c0723402d23" TargetMode="External"/><Relationship Id="rIdErebusFootnotes" Type="http://schemas.openxmlformats.org/officeDocument/2006/relationships/footnotes" Target="footnotes.xml"/></Relationships>
</file>

<file path=word/_rels/footnotes.xml.rels><?xml version='1.0' encoding='UTF-8' standalone='yes'?>
<Relationships xmlns="http://schemas.openxmlformats.org/package/2006/relationships"><Relationship Id="rId1_0" Type="http://schemas.openxmlformats.org/officeDocument/2006/relationships/hyperlink" Target="https://x.com/Erebus_pvt/status/2098411999470424286" TargetMode="External"/><Relationship Id="rId1_1" Type="http://schemas.openxmlformats.org/officeDocument/2006/relationships/hyperlink" Target="https://github.com/PoulavBhowmick03/Erebus/blob/c7795cd297e26bff71c7b524257b2c0723402d23/README.md" TargetMode="External"/><Relationship Id="rId1_2" Type="http://schemas.openxmlformats.org/officeDocument/2006/relationships/hyperlink" Target="https://github.com/PoulavBhowmick03/Erebus/blob/c7795cd297e26bff71c7b524257b2c0723402d23/docs/status.md" TargetMode="External"/><Relationship Id="rId1_3" Type="http://schemas.openxmlformats.org/officeDocument/2006/relationships/hyperlink" Target="https://github.com/PoulavBhowmick03/Erebus/blob/c7795cd297e26bff71c7b524257b2c0723402d23/docs/runs/2026-09-07-mainnet-2strk-agents.md" TargetMode="External"/><Relationship Id="rId1_4" Type="http://schemas.openxmlformats.org/officeDocument/2006/relationships/hyperlink" Target="https://help.x.com/en/using-x/view-counts" TargetMode="External"/><Relationship Id="rId2_0" Type="http://schemas.openxmlformats.org/officeDocument/2006/relationships/hyperlink" Target="https://github.com/PoulavBhowmick03/Erebus/blob/c7795cd297e26bff71c7b524257b2c0723402d23/docs/runs/2026-09-07-mainnet-2strk-agents.md" TargetMode="External"/><Relationship Id="rId3_0" Type="http://schemas.openxmlformats.org/officeDocument/2006/relationships/hyperlink" Target="https://github.com/PoulavBhowmick03/Erebus/blob/c7795cd297e26bff71c7b524257b2c0723402d23/docs/privacy-model.md" TargetMode="External"/><Relationship Id="rId4_0" Type="http://schemas.openxmlformats.org/officeDocument/2006/relationships/hyperlink" Target="https://github.com/PoulavBhowmick03/Erebus/blob/c7795cd297e26bff71c7b524257b2c0723402d23/README.md" TargetMode="External"/><Relationship Id="rId4_1" Type="http://schemas.openxmlformats.org/officeDocument/2006/relationships/hyperlink" Target="https://github.com/PoulavBhowmick03/Erebus/blob/c7795cd297e26bff71c7b524257b2c0723402d23/docs/privacy-model.md" TargetMode="External"/><Relationship Id="rId5_0" Type="http://schemas.openxmlformats.org/officeDocument/2006/relationships/hyperlink" Target="https://github.com/PoulavBhowmick03/Erebus/blob/c7795cd297e26bff71c7b524257b2c0723402d23/docs/privacy-model.md" TargetMode="External"/><Relationship Id="rId6_0" Type="http://schemas.openxmlformats.org/officeDocument/2006/relationships/hyperlink" Target="https://github.com/PoulavBhowmick03/Erebus/blob/c7795cd297e26bff71c7b524257b2c0723402d23/docs/privacy-model.md" TargetMode="External"/><Relationship Id="rId7_0" Type="http://schemas.openxmlformats.org/officeDocument/2006/relationships/hyperlink" Target="https://github.com/PoulavBhowmick03/Erebus/blob/c7795cd297e26bff71c7b524257b2c0723402d23/docs/runs/2026-09-07-mainnet-2strk-agents.md" TargetMode="External"/><Relationship Id="rId8_0" Type="http://schemas.openxmlformats.org/officeDocument/2006/relationships/hyperlink" Target="https://github.com/PoulavBhowmick03/Erebus/blob/c7795cd297e26bff71c7b524257b2c0723402d23/docs/privacy-model.md" TargetMode="External"/><Relationship Id="rId8_1" Type="http://schemas.openxmlformats.org/officeDocument/2006/relationships/hyperlink" Target="https://github.com/PoulavBhowmick03/Erebus/blob/c7795cd297e26bff71c7b524257b2c0723402d23/docs/status.md" TargetMode="External"/><Relationship Id="rId9_0" Type="http://schemas.openxmlformats.org/officeDocument/2006/relationships/hyperlink" Target="https://erebusagents.live/" TargetMode="External"/><Relationship Id="rId9_1" Type="http://schemas.openxmlformats.org/officeDocument/2006/relationships/hyperlink" Target="https://github.com/PoulavBhowmick03/Erebus/blob/c7795cd297e26bff71c7b524257b2c0723402d23/README.md" TargetMode="External"/><Relationship Id="rId10_0" Type="http://schemas.openxmlformats.org/officeDocument/2006/relationships/hyperlink" Target="https://arxiv.org/abs/2409.00138" TargetMode="External"/><Relationship Id="rId10_1" Type="http://schemas.openxmlformats.org/officeDocument/2006/relationships/hyperlink" Target="https://aclanthology.org/2024.findings-naacl.130/" TargetMode="External"/><Relationship Id="rId11_0" Type="http://schemas.openxmlformats.org/officeDocument/2006/relationships/hyperlink" Target="https://github.com/PoulavBhowmick03/Erebus/commit/c7795cd297e26bff71c7b524257b2c0723402d23" TargetMode="External"/><Relationship Id="rId12_0" Type="http://schemas.openxmlformats.org/officeDocument/2006/relationships/hyperlink" Target="https://help.x.com/en/using-x/view-counts" TargetMode="External"/><Relationship Id="rId13_0" Type="http://schemas.openxmlformats.org/officeDocument/2006/relationships/hyperlink" Target="https://help.x.com/en/rules-and-policies/authenti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Erebus Thirty Day Execution Playbook</dc:title>
  <dc:subject>Erebus product strategy and X go to market planning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