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Erebus Product and Growth Strategy</w:t>
      </w:r>
    </w:p>
    <w:p>
      <w:r>
        <w:t>Erebus should use its launch attention to recruit builders who can reproduce the workflow and customers who have a recurring payment problem. The most plausible commercial direction is a confidential settlement workspace for crypto-native teams dealing with known, repeat counterparties, with MCP access for their agents. This is a product hypothesis to validate, not evidence of an established market.</w:t>
      </w:r>
    </w:p>
    <w:p>
      <w:r>
        <w:t>The immediate priority is a concrete follow-up demonstration with an accessible next step. The business priority is five serious workflow interviews, followed by a narrowly priced integration pilot. Chasing another 10,000-view post without capturing those actions would leave the central commercial question unanswered.</w:t>
      </w:r>
    </w:p>
    <w:p>
      <w:pPr>
        <w:pStyle w:val="Heading2"/>
      </w:pPr>
      <w:r>
        <w:t>Decisions for the next month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0"/>
      </w:tblGrid>
      <w:tr>
        <w:trPr>
          <w:cantSplit/>
          <w:tblHeader/>
        </w:trPr>
        <w:tc>
          <w:tcPr>
            <w:tcW w:type="dxa" w:w="2160"/>
            <w:vAlign w:val="center"/>
            <w:shd w:fill="333333"/>
            <w:tcMar>
              <w:top w:w="75" w:type="dxa"/>
              <w:bottom w:w="75" w:type="dxa"/>
              <w:left w:w="90" w:type="dxa"/>
              <w:right w:w="90" w:type="dxa"/>
            </w:tcMar>
          </w:tcPr>
          <w:p>
            <w:pPr>
              <w:spacing w:after="0" w:line="245" w:lineRule="auto"/>
            </w:pPr>
            <w:r>
              <w:rPr>
                <w:b/>
                <w:color w:val="FFFFFF"/>
                <w:sz w:val="20"/>
              </w:rPr>
              <w:t>Decision</w:t>
            </w:r>
          </w:p>
        </w:tc>
        <w:tc>
          <w:tcPr>
            <w:tcW w:type="dxa" w:w="7920"/>
            <w:vAlign w:val="center"/>
            <w:shd w:fill="333333"/>
            <w:tcMar>
              <w:top w:w="75" w:type="dxa"/>
              <w:bottom w:w="75" w:type="dxa"/>
              <w:left w:w="90" w:type="dxa"/>
              <w:right w:w="90" w:type="dxa"/>
            </w:tcMar>
          </w:tcPr>
          <w:p>
            <w:pPr>
              <w:spacing w:after="0" w:line="245" w:lineRule="auto"/>
            </w:pPr>
            <w:r>
              <w:rPr>
                <w:b/>
                <w:color w:val="FFFFFF"/>
                <w:sz w:val="20"/>
              </w:rPr>
              <w:t>Recommendation</w:t>
            </w:r>
          </w:p>
        </w:tc>
      </w:tr>
      <w:tr>
        <w:trPr>
          <w:cantSplit/>
        </w:trPr>
        <w:tc>
          <w:tcPr>
            <w:tcW w:type="dxa" w:w="2160"/>
            <w:vAlign w:val="center"/>
            <w:shd w:fill="FFFFFF"/>
            <w:tcMar>
              <w:top w:w="75" w:type="dxa"/>
              <w:bottom w:w="75" w:type="dxa"/>
              <w:left w:w="90" w:type="dxa"/>
              <w:right w:w="90" w:type="dxa"/>
            </w:tcMar>
          </w:tcPr>
          <w:p>
            <w:pPr>
              <w:spacing w:after="0" w:line="245" w:lineRule="auto"/>
            </w:pPr>
            <w:r>
              <w:rPr>
                <w:sz w:val="20"/>
              </w:rPr>
              <w:t>Who to attract</w:t>
            </w:r>
          </w:p>
        </w:tc>
        <w:tc>
          <w:tcPr>
            <w:tcW w:type="dxa" w:w="7920"/>
            <w:vAlign w:val="center"/>
            <w:shd w:fill="FFFFFF"/>
            <w:tcMar>
              <w:top w:w="75" w:type="dxa"/>
              <w:bottom w:w="75" w:type="dxa"/>
              <w:left w:w="90" w:type="dxa"/>
              <w:right w:w="90" w:type="dxa"/>
            </w:tcMar>
          </w:tcPr>
          <w:p>
            <w:pPr>
              <w:spacing w:after="0" w:line="245" w:lineRule="auto"/>
            </w:pPr>
            <w:r>
              <w:rPr>
                <w:sz w:val="20"/>
              </w:rPr>
              <w:t>Agent developers first, especially operators already buying or selling services in crypto.</w:t>
            </w:r>
          </w:p>
        </w:tc>
      </w:tr>
      <w:tr>
        <w:trPr>
          <w:cantSplit/>
        </w:trPr>
        <w:tc>
          <w:tcPr>
            <w:tcW w:type="dxa" w:w="2160"/>
            <w:vAlign w:val="center"/>
            <w:shd w:fill="F3F3F3"/>
            <w:tcMar>
              <w:top w:w="75" w:type="dxa"/>
              <w:bottom w:w="75" w:type="dxa"/>
              <w:left w:w="90" w:type="dxa"/>
              <w:right w:w="90" w:type="dxa"/>
            </w:tcMar>
          </w:tcPr>
          <w:p>
            <w:pPr>
              <w:spacing w:after="0" w:line="245" w:lineRule="auto"/>
            </w:pPr>
            <w:r>
              <w:rPr>
                <w:sz w:val="20"/>
              </w:rPr>
              <w:t>Who might pay</w:t>
            </w:r>
          </w:p>
        </w:tc>
        <w:tc>
          <w:tcPr>
            <w:tcW w:type="dxa" w:w="7920"/>
            <w:vAlign w:val="center"/>
            <w:shd w:fill="F3F3F3"/>
            <w:tcMar>
              <w:top w:w="75" w:type="dxa"/>
              <w:bottom w:w="75" w:type="dxa"/>
              <w:left w:w="90" w:type="dxa"/>
              <w:right w:w="90" w:type="dxa"/>
            </w:tcMar>
          </w:tcPr>
          <w:p>
            <w:pPr>
              <w:spacing w:after="0" w:line="245" w:lineRule="auto"/>
            </w:pPr>
            <w:r>
              <w:rPr>
                <w:sz w:val="20"/>
              </w:rPr>
              <w:t>The company operating the agents or making repeat supplier payments. An agent choosing privacy is not a customer purchase.</w:t>
            </w:r>
          </w:p>
        </w:tc>
      </w:tr>
      <w:tr>
        <w:trPr>
          <w:cantSplit/>
        </w:trPr>
        <w:tc>
          <w:tcPr>
            <w:tcW w:type="dxa" w:w="2160"/>
            <w:vAlign w:val="center"/>
            <w:shd w:fill="FFFFFF"/>
            <w:tcMar>
              <w:top w:w="75" w:type="dxa"/>
              <w:bottom w:w="75" w:type="dxa"/>
              <w:left w:w="90" w:type="dxa"/>
              <w:right w:w="90" w:type="dxa"/>
            </w:tcMar>
          </w:tcPr>
          <w:p>
            <w:pPr>
              <w:spacing w:after="0" w:line="245" w:lineRule="auto"/>
            </w:pPr>
            <w:r>
              <w:rPr>
                <w:sz w:val="20"/>
              </w:rPr>
              <w:t>What to sell first</w:t>
            </w:r>
          </w:p>
        </w:tc>
        <w:tc>
          <w:tcPr>
            <w:tcW w:type="dxa" w:w="7920"/>
            <w:vAlign w:val="center"/>
            <w:shd w:fill="FFFFFF"/>
            <w:tcMar>
              <w:top w:w="75" w:type="dxa"/>
              <w:bottom w:w="75" w:type="dxa"/>
              <w:left w:w="90" w:type="dxa"/>
              <w:right w:w="90" w:type="dxa"/>
            </w:tcMar>
          </w:tcPr>
          <w:p>
            <w:pPr>
              <w:spacing w:after="0" w:line="245" w:lineRule="auto"/>
            </w:pPr>
            <w:r>
              <w:rPr>
                <w:sz w:val="20"/>
              </w:rPr>
              <w:t>A fixed-scope integration and workflow pilot. Test recurring software fees only after repeat use.</w:t>
            </w:r>
          </w:p>
        </w:tc>
      </w:tr>
      <w:tr>
        <w:trPr>
          <w:cantSplit/>
        </w:trPr>
        <w:tc>
          <w:tcPr>
            <w:tcW w:type="dxa" w:w="2160"/>
            <w:vAlign w:val="center"/>
            <w:shd w:fill="F3F3F3"/>
            <w:tcMar>
              <w:top w:w="75" w:type="dxa"/>
              <w:bottom w:w="75" w:type="dxa"/>
              <w:left w:w="90" w:type="dxa"/>
              <w:right w:w="90" w:type="dxa"/>
            </w:tcMar>
          </w:tcPr>
          <w:p>
            <w:pPr>
              <w:spacing w:after="0" w:line="245" w:lineRule="auto"/>
            </w:pPr>
            <w:r>
              <w:rPr>
                <w:sz w:val="20"/>
              </w:rPr>
              <w:t>What to publish</w:t>
            </w:r>
          </w:p>
        </w:tc>
        <w:tc>
          <w:tcPr>
            <w:tcW w:type="dxa" w:w="7920"/>
            <w:vAlign w:val="center"/>
            <w:shd w:fill="F3F3F3"/>
            <w:tcMar>
              <w:top w:w="75" w:type="dxa"/>
              <w:bottom w:w="75" w:type="dxa"/>
              <w:left w:w="90" w:type="dxa"/>
              <w:right w:w="90" w:type="dxa"/>
            </w:tcMar>
          </w:tcPr>
          <w:p>
            <w:pPr>
              <w:spacing w:after="0" w:line="245" w:lineRule="auto"/>
            </w:pPr>
            <w:r>
              <w:rPr>
                <w:sz w:val="20"/>
              </w:rPr>
              <w:t>Reproducible demos, precise privacy explanations, recovery evidence, and customer-informed experiments.</w:t>
            </w:r>
          </w:p>
        </w:tc>
      </w:tr>
      <w:tr>
        <w:trPr>
          <w:cantSplit/>
        </w:trPr>
        <w:tc>
          <w:tcPr>
            <w:tcW w:type="dxa" w:w="2160"/>
            <w:vAlign w:val="center"/>
            <w:shd w:fill="FFFFFF"/>
            <w:tcMar>
              <w:top w:w="75" w:type="dxa"/>
              <w:bottom w:w="75" w:type="dxa"/>
              <w:left w:w="90" w:type="dxa"/>
              <w:right w:w="90" w:type="dxa"/>
            </w:tcMar>
          </w:tcPr>
          <w:p>
            <w:pPr>
              <w:spacing w:after="0" w:line="245" w:lineRule="auto"/>
            </w:pPr>
            <w:r>
              <w:rPr>
                <w:sz w:val="20"/>
              </w:rPr>
              <w:t>What to postpone</w:t>
            </w:r>
          </w:p>
        </w:tc>
        <w:tc>
          <w:tcPr>
            <w:tcW w:type="dxa" w:w="7920"/>
            <w:vAlign w:val="center"/>
            <w:shd w:fill="FFFFFF"/>
            <w:tcMar>
              <w:top w:w="75" w:type="dxa"/>
              <w:bottom w:w="75" w:type="dxa"/>
              <w:left w:w="90" w:type="dxa"/>
              <w:right w:w="90" w:type="dxa"/>
            </w:tcMar>
          </w:tcPr>
          <w:p>
            <w:pPr>
              <w:spacing w:after="0" w:line="245" w:lineRule="auto"/>
            </w:pPr>
            <w:r>
              <w:rPr>
                <w:sz w:val="20"/>
              </w:rPr>
              <w:t>A general marketplace, a token, broad paid promotion, and high-volume micropayment positioning.</w:t>
            </w:r>
          </w:p>
        </w:tc>
      </w:tr>
    </w:tbl>
    <w:p>
      <w:pPr>
        <w:spacing w:after="0"/>
      </w:pPr>
    </w:p>
    <w:p>
      <w:r>
        <w:t>Erebus has an installable release, bounded mainnet evidence, and a browser simulation. Its repository also explicitly describes it as experimental and unaudited. The next commercial step should therefore be an evaluation or integration offer, not a promise of production-grade financial infrastructure.</w:t>
      </w:r>
      <w:r>
        <w:rPr>
          <w:vertAlign w:val="superscript"/>
        </w:rPr>
        <w:footnoteReference w:id="1"/>
      </w:r>
      <w:r/>
    </w:p>
    <w:p>
      <w:r>
        <w:t>Evidence cutoff is 12 September 2026. X code is pinned to commit 6bb4594, published that day; Erebus code is pinned to c7795cd, published 11 September. All proposed prices, goals, effort budgets, and experiment thresholds below are planning assumptions. No customer revenue or private conversion analytics were available.</w:t>
      </w:r>
    </w:p>
    <w:p>
      <w:pPr>
        <w:pStyle w:val="Heading1"/>
        <w:pageBreakBefore/>
      </w:pPr>
      <w:r>
        <w:t>Launch audit</w:t>
      </w:r>
    </w:p>
    <w:p>
      <w:r>
        <w:t>The public launch thread already includes the correct privacy limitation. The problem is where it appears: the entry post attracts far more visible exposure than the posts explaining how to try Erebus. This is an actionable distribution problem rather than proof that the launch failed.</w:t>
      </w:r>
      <w:r>
        <w:rPr>
          <w:vertAlign w:val="superscript"/>
        </w:rPr>
        <w:footnoteReference w:id="2"/>
      </w: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152"/>
        <w:gridCol w:w="5256"/>
      </w:tblGrid>
      <w:tr>
        <w:trPr>
          <w:cantSplit/>
          <w:tblHeader/>
        </w:trPr>
        <w:tc>
          <w:tcPr>
            <w:tcW w:type="dxa" w:w="3672"/>
            <w:vAlign w:val="center"/>
            <w:shd w:fill="333333"/>
            <w:tcMar>
              <w:top w:w="75" w:type="dxa"/>
              <w:bottom w:w="75" w:type="dxa"/>
              <w:left w:w="90" w:type="dxa"/>
              <w:right w:w="90" w:type="dxa"/>
            </w:tcMar>
          </w:tcPr>
          <w:p>
            <w:pPr>
              <w:spacing w:after="0" w:line="245" w:lineRule="auto"/>
            </w:pPr>
            <w:r>
              <w:rPr>
                <w:b/>
                <w:color w:val="FFFFFF"/>
                <w:sz w:val="20"/>
              </w:rPr>
              <w:t>Public item</w:t>
            </w:r>
          </w:p>
        </w:tc>
        <w:tc>
          <w:tcPr>
            <w:tcW w:type="dxa" w:w="1152"/>
            <w:vAlign w:val="center"/>
            <w:shd w:fill="333333"/>
            <w:tcMar>
              <w:top w:w="75" w:type="dxa"/>
              <w:bottom w:w="75" w:type="dxa"/>
              <w:left w:w="90" w:type="dxa"/>
              <w:right w:w="90" w:type="dxa"/>
            </w:tcMar>
          </w:tcPr>
          <w:p>
            <w:pPr>
              <w:spacing w:after="0" w:line="245" w:lineRule="auto"/>
            </w:pPr>
            <w:r>
              <w:rPr>
                <w:b/>
                <w:color w:val="FFFFFF"/>
                <w:sz w:val="20"/>
              </w:rPr>
              <w:t>Views</w:t>
            </w:r>
          </w:p>
        </w:tc>
        <w:tc>
          <w:tcPr>
            <w:tcW w:type="dxa" w:w="5256"/>
            <w:vAlign w:val="center"/>
            <w:shd w:fill="333333"/>
            <w:tcMar>
              <w:top w:w="75" w:type="dxa"/>
              <w:bottom w:w="75" w:type="dxa"/>
              <w:left w:w="90" w:type="dxa"/>
              <w:right w:w="90" w:type="dxa"/>
            </w:tcMar>
          </w:tcPr>
          <w:p>
            <w:pPr>
              <w:spacing w:after="0" w:line="245" w:lineRule="auto"/>
            </w:pPr>
            <w:r>
              <w:rPr>
                <w:b/>
                <w:color w:val="FFFFFF"/>
                <w:sz w:val="20"/>
              </w:rPr>
              <w:t>Other visible signals</w:t>
            </w:r>
          </w:p>
        </w:tc>
      </w:tr>
      <w:tr>
        <w:trPr>
          <w:cantSplit/>
        </w:trPr>
        <w:tc>
          <w:tcPr>
            <w:tcW w:type="dxa" w:w="3672"/>
            <w:vAlign w:val="center"/>
            <w:shd w:fill="FFFFFF"/>
            <w:tcMar>
              <w:top w:w="75" w:type="dxa"/>
              <w:bottom w:w="75" w:type="dxa"/>
              <w:left w:w="90" w:type="dxa"/>
              <w:right w:w="90" w:type="dxa"/>
            </w:tcMar>
          </w:tcPr>
          <w:p>
            <w:pPr>
              <w:spacing w:after="0" w:line="245" w:lineRule="auto"/>
            </w:pPr>
            <w:r>
              <w:rPr>
                <w:sz w:val="20"/>
              </w:rPr>
              <w:t>Launch video post</w:t>
            </w:r>
          </w:p>
        </w:tc>
        <w:tc>
          <w:tcPr>
            <w:tcW w:type="dxa" w:w="1152"/>
            <w:vAlign w:val="center"/>
            <w:shd w:fill="FFFFFF"/>
            <w:tcMar>
              <w:top w:w="75" w:type="dxa"/>
              <w:bottom w:w="75" w:type="dxa"/>
              <w:left w:w="90" w:type="dxa"/>
              <w:right w:w="90" w:type="dxa"/>
            </w:tcMar>
          </w:tcPr>
          <w:p>
            <w:pPr>
              <w:spacing w:after="0" w:line="245" w:lineRule="auto"/>
            </w:pPr>
            <w:r>
              <w:rPr>
                <w:sz w:val="20"/>
              </w:rPr>
              <w:t>10.2K</w:t>
            </w:r>
          </w:p>
        </w:tc>
        <w:tc>
          <w:tcPr>
            <w:tcW w:type="dxa" w:w="5256"/>
            <w:vAlign w:val="center"/>
            <w:shd w:fill="FFFFFF"/>
            <w:tcMar>
              <w:top w:w="75" w:type="dxa"/>
              <w:bottom w:w="75" w:type="dxa"/>
              <w:left w:w="90" w:type="dxa"/>
              <w:right w:w="90" w:type="dxa"/>
            </w:tcMar>
          </w:tcPr>
          <w:p>
            <w:pPr>
              <w:spacing w:after="0" w:line="245" w:lineRule="auto"/>
            </w:pPr>
            <w:r>
              <w:rPr>
                <w:sz w:val="20"/>
              </w:rPr>
              <w:t>35 replies, 24 reposts, 80 likes, 18 bookmarks</w:t>
            </w:r>
          </w:p>
        </w:tc>
      </w:tr>
      <w:tr>
        <w:trPr>
          <w:cantSplit/>
        </w:trPr>
        <w:tc>
          <w:tcPr>
            <w:tcW w:type="dxa" w:w="3672"/>
            <w:vAlign w:val="center"/>
            <w:shd w:fill="F3F3F3"/>
            <w:tcMar>
              <w:top w:w="75" w:type="dxa"/>
              <w:bottom w:w="75" w:type="dxa"/>
              <w:left w:w="90" w:type="dxa"/>
              <w:right w:w="90" w:type="dxa"/>
            </w:tcMar>
          </w:tcPr>
          <w:p>
            <w:pPr>
              <w:spacing w:after="0" w:line="245" w:lineRule="auto"/>
            </w:pPr>
            <w:r>
              <w:rPr>
                <w:sz w:val="20"/>
              </w:rPr>
              <w:t>Protocol explanation reply</w:t>
            </w:r>
          </w:p>
        </w:tc>
        <w:tc>
          <w:tcPr>
            <w:tcW w:type="dxa" w:w="1152"/>
            <w:vAlign w:val="center"/>
            <w:shd w:fill="F3F3F3"/>
            <w:tcMar>
              <w:top w:w="75" w:type="dxa"/>
              <w:bottom w:w="75" w:type="dxa"/>
              <w:left w:w="90" w:type="dxa"/>
              <w:right w:w="90" w:type="dxa"/>
            </w:tcMar>
          </w:tcPr>
          <w:p>
            <w:pPr>
              <w:spacing w:after="0" w:line="245" w:lineRule="auto"/>
            </w:pPr>
            <w:r>
              <w:rPr>
                <w:sz w:val="20"/>
              </w:rPr>
              <w:t>1.3K</w:t>
            </w:r>
          </w:p>
        </w:tc>
        <w:tc>
          <w:tcPr>
            <w:tcW w:type="dxa" w:w="5256"/>
            <w:vAlign w:val="center"/>
            <w:shd w:fill="F3F3F3"/>
            <w:tcMar>
              <w:top w:w="75" w:type="dxa"/>
              <w:bottom w:w="75" w:type="dxa"/>
              <w:left w:w="90" w:type="dxa"/>
              <w:right w:w="90" w:type="dxa"/>
            </w:tcMar>
          </w:tcPr>
          <w:p>
            <w:pPr>
              <w:spacing w:after="0" w:line="245" w:lineRule="auto"/>
            </w:pPr>
            <w:r>
              <w:rPr>
                <w:sz w:val="20"/>
              </w:rPr>
              <w:t>22 replies, 6 reposts, 39 likes</w:t>
            </w:r>
          </w:p>
        </w:tc>
      </w:tr>
      <w:tr>
        <w:trPr>
          <w:cantSplit/>
        </w:trPr>
        <w:tc>
          <w:tcPr>
            <w:tcW w:type="dxa" w:w="3672"/>
            <w:vAlign w:val="center"/>
            <w:shd w:fill="FFFFFF"/>
            <w:tcMar>
              <w:top w:w="75" w:type="dxa"/>
              <w:bottom w:w="75" w:type="dxa"/>
              <w:left w:w="90" w:type="dxa"/>
              <w:right w:w="90" w:type="dxa"/>
            </w:tcMar>
          </w:tcPr>
          <w:p>
            <w:pPr>
              <w:spacing w:after="0" w:line="245" w:lineRule="auto"/>
            </w:pPr>
            <w:r>
              <w:rPr>
                <w:sz w:val="20"/>
              </w:rPr>
              <w:t>Release and disclosure reply</w:t>
            </w:r>
          </w:p>
        </w:tc>
        <w:tc>
          <w:tcPr>
            <w:tcW w:type="dxa" w:w="1152"/>
            <w:vAlign w:val="center"/>
            <w:shd w:fill="FFFFFF"/>
            <w:tcMar>
              <w:top w:w="75" w:type="dxa"/>
              <w:bottom w:w="75" w:type="dxa"/>
              <w:left w:w="90" w:type="dxa"/>
              <w:right w:w="90" w:type="dxa"/>
            </w:tcMar>
          </w:tcPr>
          <w:p>
            <w:pPr>
              <w:spacing w:after="0" w:line="245" w:lineRule="auto"/>
            </w:pPr>
            <w:r>
              <w:rPr>
                <w:sz w:val="20"/>
              </w:rPr>
              <w:t>371</w:t>
            </w:r>
          </w:p>
        </w:tc>
        <w:tc>
          <w:tcPr>
            <w:tcW w:type="dxa" w:w="5256"/>
            <w:vAlign w:val="center"/>
            <w:shd w:fill="FFFFFF"/>
            <w:tcMar>
              <w:top w:w="75" w:type="dxa"/>
              <w:bottom w:w="75" w:type="dxa"/>
              <w:left w:w="90" w:type="dxa"/>
              <w:right w:w="90" w:type="dxa"/>
            </w:tcMar>
          </w:tcPr>
          <w:p>
            <w:pPr>
              <w:spacing w:after="0" w:line="245" w:lineRule="auto"/>
            </w:pPr>
            <w:r>
              <w:rPr>
                <w:sz w:val="20"/>
              </w:rPr>
              <w:t>4 replies, 6 reposts, 20 likes</w:t>
            </w:r>
          </w:p>
        </w:tc>
      </w:tr>
      <w:tr>
        <w:trPr>
          <w:cantSplit/>
        </w:trPr>
        <w:tc>
          <w:tcPr>
            <w:tcW w:type="dxa" w:w="3672"/>
            <w:vAlign w:val="center"/>
            <w:shd w:fill="F3F3F3"/>
            <w:tcMar>
              <w:top w:w="75" w:type="dxa"/>
              <w:bottom w:w="75" w:type="dxa"/>
              <w:left w:w="90" w:type="dxa"/>
              <w:right w:w="90" w:type="dxa"/>
            </w:tcMar>
          </w:tcPr>
          <w:p>
            <w:pPr>
              <w:spacing w:after="0" w:line="245" w:lineRule="auto"/>
            </w:pPr>
            <w:r>
              <w:rPr>
                <w:sz w:val="20"/>
              </w:rPr>
              <w:t>GitHub and website reply</w:t>
            </w:r>
          </w:p>
        </w:tc>
        <w:tc>
          <w:tcPr>
            <w:tcW w:type="dxa" w:w="1152"/>
            <w:vAlign w:val="center"/>
            <w:shd w:fill="F3F3F3"/>
            <w:tcMar>
              <w:top w:w="75" w:type="dxa"/>
              <w:bottom w:w="75" w:type="dxa"/>
              <w:left w:w="90" w:type="dxa"/>
              <w:right w:w="90" w:type="dxa"/>
            </w:tcMar>
          </w:tcPr>
          <w:p>
            <w:pPr>
              <w:spacing w:after="0" w:line="245" w:lineRule="auto"/>
            </w:pPr>
            <w:r>
              <w:rPr>
                <w:sz w:val="20"/>
              </w:rPr>
              <w:t>251</w:t>
            </w:r>
          </w:p>
        </w:tc>
        <w:tc>
          <w:tcPr>
            <w:tcW w:type="dxa" w:w="5256"/>
            <w:vAlign w:val="center"/>
            <w:shd w:fill="F3F3F3"/>
            <w:tcMar>
              <w:top w:w="75" w:type="dxa"/>
              <w:bottom w:w="75" w:type="dxa"/>
              <w:left w:w="90" w:type="dxa"/>
              <w:right w:w="90" w:type="dxa"/>
            </w:tcMar>
          </w:tcPr>
          <w:p>
            <w:pPr>
              <w:spacing w:after="0" w:line="245" w:lineRule="auto"/>
            </w:pPr>
            <w:r>
              <w:rPr>
                <w:sz w:val="20"/>
              </w:rPr>
              <w:t>5 reposts, 17 likes</w:t>
            </w:r>
          </w:p>
        </w:tc>
      </w:tr>
      <w:tr>
        <w:trPr>
          <w:cantSplit/>
        </w:trPr>
        <w:tc>
          <w:tcPr>
            <w:tcW w:type="dxa" w:w="3672"/>
            <w:vAlign w:val="center"/>
            <w:shd w:fill="FFFFFF"/>
            <w:tcMar>
              <w:top w:w="75" w:type="dxa"/>
              <w:bottom w:w="75" w:type="dxa"/>
              <w:left w:w="90" w:type="dxa"/>
              <w:right w:w="90" w:type="dxa"/>
            </w:tcMar>
          </w:tcPr>
          <w:p>
            <w:pPr>
              <w:spacing w:after="0" w:line="245" w:lineRule="auto"/>
            </w:pPr>
            <w:r>
              <w:rPr>
                <w:sz w:val="20"/>
              </w:rPr>
              <w:t>Profile</w:t>
            </w:r>
          </w:p>
        </w:tc>
        <w:tc>
          <w:tcPr>
            <w:tcW w:type="dxa" w:w="1152"/>
            <w:vAlign w:val="center"/>
            <w:shd w:fill="FFFFFF"/>
            <w:tcMar>
              <w:top w:w="75" w:type="dxa"/>
              <w:bottom w:w="75" w:type="dxa"/>
              <w:left w:w="90" w:type="dxa"/>
              <w:right w:w="90" w:type="dxa"/>
            </w:tcMar>
          </w:tcPr>
          <w:p>
            <w:pPr>
              <w:spacing w:after="0" w:line="245" w:lineRule="auto"/>
            </w:pPr>
            <w:r>
              <w:rPr>
                <w:sz w:val="20"/>
              </w:rPr>
              <w:t>Not a view metric</w:t>
            </w:r>
          </w:p>
        </w:tc>
        <w:tc>
          <w:tcPr>
            <w:tcW w:type="dxa" w:w="5256"/>
            <w:vAlign w:val="center"/>
            <w:shd w:fill="FFFFFF"/>
            <w:tcMar>
              <w:top w:w="75" w:type="dxa"/>
              <w:bottom w:w="75" w:type="dxa"/>
              <w:left w:w="90" w:type="dxa"/>
              <w:right w:w="90" w:type="dxa"/>
            </w:tcMar>
          </w:tcPr>
          <w:p>
            <w:pPr>
              <w:spacing w:after="0" w:line="245" w:lineRule="auto"/>
            </w:pPr>
            <w:r>
              <w:rPr>
                <w:sz w:val="20"/>
              </w:rPr>
              <w:t>75 followers, 17 following; verified badge visible</w:t>
            </w:r>
          </w:p>
        </w:tc>
      </w:tr>
    </w:tbl>
    <w:p>
      <w:pPr>
        <w:spacing w:after="0"/>
      </w:pPr>
    </w:p>
    <w:p>
      <w:r>
        <w:t>These counters were observed on 12 September and will change. They count overlapping exposures, not unique people moving through a funnel. The final post had about 2.5% as many views as the opening post; that is an exposure comparison, not a measured 97.5% abandonment rate. X says repeat and author views can count.</w:t>
      </w:r>
      <w:r>
        <w:rPr>
          <w:vertAlign w:val="superscript"/>
        </w:rPr>
        <w:footnoteReference w:id="3"/>
      </w:r>
      <w:r/>
    </w:p>
    <w:p>
      <w:pPr>
        <w:pStyle w:val="Heading2"/>
      </w:pPr>
      <w:r>
        <w:t>What to change immediately</w:t>
      </w:r>
    </w:p>
    <w:p>
      <w:r>
        <w:t>Publish a standalone continuation showing the actual result: two different agent frameworks negotiated and settled 2 STRK, then an authorized third party inspected that deal. Put the exact privacy boundary and one next action in this post or its first visible companion. A visitor should not need to finish four posts to discover the product.</w:t>
      </w:r>
    </w:p>
    <w:p>
      <w:r>
        <w:t>Keep the launch available as social proof. Add a clear start path in the profile and a top-level post: browser simulation for visitors, mock MCP setup for builders, and an assisted integration conversation for serious teams. These are different levels of commitment and should be labeled clearly.</w:t>
      </w:r>
    </w:p>
    <w:p>
      <w:r>
        <w:t>The website already explains leakage, offers a simulation, and links transaction evidence. Its hero leads with mythology and implementation vocabulary, while installation is much further down. Add a plain outcome sentence and a prominent developer quickstart link above the fold. “Run a deal” should visibly say that it runs a simulation.</w:t>
      </w:r>
      <w:r>
        <w:rPr>
          <w:vertAlign w:val="superscript"/>
        </w:rPr>
        <w:footnoteReference w:id="4"/>
      </w:r>
      <w:r/>
    </w:p>
    <w:p>
      <w:r>
        <w:t>Avoid repeating the launch claim that every offer is public across agent commerce. Offers can already travel over private application channels. The defensible issue is what a particular payment and coordination design exposes onchain. Precision will make technical readers more likely to trust the product.</w:t>
      </w:r>
    </w:p>
    <w:p>
      <w:pPr>
        <w:pStyle w:val="Heading1"/>
        <w:pageBreakBefore/>
      </w:pPr>
      <w:r>
        <w:t>The latest published X recommendation system</w:t>
      </w:r>
    </w:p>
    <w:p>
      <w:r>
        <w:t>The current public repository describes a personalized For You pipeline. Thunder supplies recent posts from followed accounts; Phoenix retrieval and SimClusters supply discovery candidates. Phoenix predicts actions for a viewer and post. Ranking and visibility filtering are separate. The August 13 release expanded code and published parameters; the August 14 clarification rejected treating weights as engagement exchange rates.</w:t>
      </w:r>
      <w:r>
        <w:rPr>
          <w:vertAlign w:val="superscript"/>
        </w:rPr>
        <w:footnoteReference w:id="5"/>
      </w: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shd w:fill="333333"/>
            <w:tcMar>
              <w:top w:w="75" w:type="dxa"/>
              <w:bottom w:w="75" w:type="dxa"/>
              <w:left w:w="90" w:type="dxa"/>
              <w:right w:w="90" w:type="dxa"/>
            </w:tcMar>
          </w:tcPr>
          <w:p>
            <w:pPr>
              <w:spacing w:after="0" w:line="245" w:lineRule="auto"/>
            </w:pPr>
            <w:r>
              <w:rPr>
                <w:b/>
                <w:color w:val="FFFFFF"/>
                <w:sz w:val="20"/>
              </w:rPr>
              <w:t>Stage</w:t>
            </w:r>
          </w:p>
        </w:tc>
        <w:tc>
          <w:tcPr>
            <w:tcW w:type="dxa" w:w="7776"/>
            <w:vAlign w:val="center"/>
            <w:shd w:fill="333333"/>
            <w:tcMar>
              <w:top w:w="75" w:type="dxa"/>
              <w:bottom w:w="75" w:type="dxa"/>
              <w:left w:w="90" w:type="dxa"/>
              <w:right w:w="90" w:type="dxa"/>
            </w:tcMar>
          </w:tcPr>
          <w:p>
            <w:pPr>
              <w:spacing w:after="0" w:line="245" w:lineRule="auto"/>
            </w:pPr>
            <w:r>
              <w:rPr>
                <w:b/>
                <w:color w:val="FFFFFF"/>
                <w:sz w:val="20"/>
              </w:rPr>
              <w:t>Meaning for Erebus</w:t>
            </w:r>
          </w:p>
        </w:tc>
      </w:tr>
      <w:tr>
        <w:trPr>
          <w:cantSplit/>
        </w:trPr>
        <w:tc>
          <w:tcPr>
            <w:tcW w:type="dxa" w:w="2304"/>
            <w:vAlign w:val="center"/>
            <w:shd w:fill="FFFFFF"/>
            <w:tcMar>
              <w:top w:w="75" w:type="dxa"/>
              <w:bottom w:w="75" w:type="dxa"/>
              <w:left w:w="90" w:type="dxa"/>
              <w:right w:w="90" w:type="dxa"/>
            </w:tcMar>
          </w:tcPr>
          <w:p>
            <w:pPr>
              <w:spacing w:after="0" w:line="245" w:lineRule="auto"/>
            </w:pPr>
            <w:r>
              <w:rPr>
                <w:sz w:val="20"/>
              </w:rPr>
              <w:t>Candidate retrieval</w:t>
            </w:r>
          </w:p>
        </w:tc>
        <w:tc>
          <w:tcPr>
            <w:tcW w:type="dxa" w:w="7776"/>
            <w:vAlign w:val="center"/>
            <w:shd w:fill="FFFFFF"/>
            <w:tcMar>
              <w:top w:w="75" w:type="dxa"/>
              <w:bottom w:w="75" w:type="dxa"/>
              <w:left w:w="90" w:type="dxa"/>
              <w:right w:w="90" w:type="dxa"/>
            </w:tcMar>
          </w:tcPr>
          <w:p>
            <w:pPr>
              <w:spacing w:after="0" w:line="245" w:lineRule="auto"/>
            </w:pPr>
            <w:r>
              <w:rPr>
                <w:sz w:val="20"/>
              </w:rPr>
              <w:t>Earn relevance to agent developers, protocol engineers, and privacy builders. Repeatedly serve this audience with useful subjects.</w:t>
            </w:r>
          </w:p>
        </w:tc>
      </w:tr>
      <w:tr>
        <w:trPr>
          <w:cantSplit/>
        </w:trPr>
        <w:tc>
          <w:tcPr>
            <w:tcW w:type="dxa" w:w="2304"/>
            <w:vAlign w:val="center"/>
            <w:shd w:fill="F3F3F3"/>
            <w:tcMar>
              <w:top w:w="75" w:type="dxa"/>
              <w:bottom w:w="75" w:type="dxa"/>
              <w:left w:w="90" w:type="dxa"/>
              <w:right w:w="90" w:type="dxa"/>
            </w:tcMar>
          </w:tcPr>
          <w:p>
            <w:pPr>
              <w:spacing w:after="0" w:line="245" w:lineRule="auto"/>
            </w:pPr>
            <w:r>
              <w:rPr>
                <w:sz w:val="20"/>
              </w:rPr>
              <w:t>Personalized scoring</w:t>
            </w:r>
          </w:p>
        </w:tc>
        <w:tc>
          <w:tcPr>
            <w:tcW w:type="dxa" w:w="7776"/>
            <w:vAlign w:val="center"/>
            <w:shd w:fill="F3F3F3"/>
            <w:tcMar>
              <w:top w:w="75" w:type="dxa"/>
              <w:bottom w:w="75" w:type="dxa"/>
              <w:left w:w="90" w:type="dxa"/>
              <w:right w:w="90" w:type="dxa"/>
            </w:tcMar>
          </w:tcPr>
          <w:p>
            <w:pPr>
              <w:spacing w:after="0" w:line="245" w:lineRule="auto"/>
            </w:pPr>
            <w:r>
              <w:rPr>
                <w:sz w:val="20"/>
              </w:rPr>
              <w:t>A post can be valuable to a small technical audience without receiving mass-market engagement.</w:t>
            </w:r>
          </w:p>
        </w:tc>
      </w:tr>
      <w:tr>
        <w:trPr>
          <w:cantSplit/>
        </w:trPr>
        <w:tc>
          <w:tcPr>
            <w:tcW w:type="dxa" w:w="2304"/>
            <w:vAlign w:val="center"/>
            <w:shd w:fill="FFFFFF"/>
            <w:tcMar>
              <w:top w:w="75" w:type="dxa"/>
              <w:bottom w:w="75" w:type="dxa"/>
              <w:left w:w="90" w:type="dxa"/>
              <w:right w:w="90" w:type="dxa"/>
            </w:tcMar>
          </w:tcPr>
          <w:p>
            <w:pPr>
              <w:spacing w:after="0" w:line="245" w:lineRule="auto"/>
            </w:pPr>
            <w:r>
              <w:rPr>
                <w:sz w:val="20"/>
              </w:rPr>
              <w:t>Score adjustments</w:t>
            </w:r>
          </w:p>
        </w:tc>
        <w:tc>
          <w:tcPr>
            <w:tcW w:type="dxa" w:w="7776"/>
            <w:vAlign w:val="center"/>
            <w:shd w:fill="FFFFFF"/>
            <w:tcMar>
              <w:top w:w="75" w:type="dxa"/>
              <w:bottom w:w="75" w:type="dxa"/>
              <w:left w:w="90" w:type="dxa"/>
              <w:right w:w="90" w:type="dxa"/>
            </w:tcMar>
          </w:tcPr>
          <w:p>
            <w:pPr>
              <w:spacing w:after="0" w:line="245" w:lineRule="auto"/>
            </w:pPr>
            <w:r>
              <w:rPr>
                <w:sz w:val="20"/>
              </w:rPr>
              <w:t>Repeated posts from one author can be discounted within a feed selection. Output volume is not a free growth multiplier.</w:t>
            </w:r>
          </w:p>
        </w:tc>
      </w:tr>
      <w:tr>
        <w:trPr>
          <w:cantSplit/>
        </w:trPr>
        <w:tc>
          <w:tcPr>
            <w:tcW w:type="dxa" w:w="2304"/>
            <w:vAlign w:val="center"/>
            <w:shd w:fill="F3F3F3"/>
            <w:tcMar>
              <w:top w:w="75" w:type="dxa"/>
              <w:bottom w:w="75" w:type="dxa"/>
              <w:left w:w="90" w:type="dxa"/>
              <w:right w:w="90" w:type="dxa"/>
            </w:tcMar>
          </w:tcPr>
          <w:p>
            <w:pPr>
              <w:spacing w:after="0" w:line="245" w:lineRule="auto"/>
            </w:pPr>
            <w:r>
              <w:rPr>
                <w:sz w:val="20"/>
              </w:rPr>
              <w:t>Visibility filters</w:t>
            </w:r>
          </w:p>
        </w:tc>
        <w:tc>
          <w:tcPr>
            <w:tcW w:type="dxa" w:w="7776"/>
            <w:vAlign w:val="center"/>
            <w:shd w:fill="F3F3F3"/>
            <w:tcMar>
              <w:top w:w="75" w:type="dxa"/>
              <w:bottom w:w="75" w:type="dxa"/>
              <w:left w:w="90" w:type="dxa"/>
              <w:right w:w="90" w:type="dxa"/>
            </w:tcMar>
          </w:tcPr>
          <w:p>
            <w:pPr>
              <w:spacing w:after="0" w:line="245" w:lineRule="auto"/>
            </w:pPr>
            <w:r>
              <w:rPr>
                <w:sz w:val="20"/>
              </w:rPr>
              <w:t>Spam or audience restrictions can prevent recommendation even when a post might score well.</w:t>
            </w:r>
          </w:p>
        </w:tc>
      </w:tr>
      <w:tr>
        <w:trPr>
          <w:cantSplit/>
        </w:trPr>
        <w:tc>
          <w:tcPr>
            <w:tcW w:type="dxa" w:w="2304"/>
            <w:vAlign w:val="center"/>
            <w:shd w:fill="FFFFFF"/>
            <w:tcMar>
              <w:top w:w="75" w:type="dxa"/>
              <w:bottom w:w="75" w:type="dxa"/>
              <w:left w:w="90" w:type="dxa"/>
              <w:right w:w="90" w:type="dxa"/>
            </w:tcMar>
          </w:tcPr>
          <w:p>
            <w:pPr>
              <w:spacing w:after="0" w:line="245" w:lineRule="auto"/>
            </w:pPr>
            <w:r>
              <w:rPr>
                <w:sz w:val="20"/>
              </w:rPr>
              <w:t>Reranking</w:t>
            </w:r>
          </w:p>
        </w:tc>
        <w:tc>
          <w:tcPr>
            <w:tcW w:type="dxa" w:w="7776"/>
            <w:vAlign w:val="center"/>
            <w:shd w:fill="FFFFFF"/>
            <w:tcMar>
              <w:top w:w="75" w:type="dxa"/>
              <w:bottom w:w="75" w:type="dxa"/>
              <w:left w:w="90" w:type="dxa"/>
              <w:right w:w="90" w:type="dxa"/>
            </w:tcMar>
          </w:tcPr>
          <w:p>
            <w:pPr>
              <w:spacing w:after="0" w:line="245" w:lineRule="auto"/>
            </w:pPr>
            <w:r>
              <w:rPr>
                <w:sz w:val="20"/>
              </w:rPr>
              <w:t>A later service can alter ordering. The weighted action sum is not a complete simulation of the live feed.</w:t>
            </w:r>
          </w:p>
        </w:tc>
      </w:tr>
    </w:tbl>
    <w:p>
      <w:pPr>
        <w:spacing w:after="0"/>
      </w:pPr>
    </w:p>
    <w:p>
      <w:r>
        <w:t>The ranking scorer applies additional logic including author diversity and out-of-network adjustments. The checked defaults include a 0.75 out-of-network factor and author-diversity decay of 0.5 with a 0.25 floor. These are local ranking operations, not a prediction that every non-follower receives 25% fewer impressions.</w:t>
      </w:r>
      <w:r>
        <w:rPr>
          <w:vertAlign w:val="superscript"/>
        </w:rPr>
        <w:footnoteReference w:id="6"/>
      </w:r>
      <w:r/>
    </w:p>
    <w:p>
      <w:r>
        <w:t>The documented pipeline excludes candidates older than 48 hours, and its age filter evaluates age against a supplied maximum. Treat this as a property of this recommendation path. It does not mean an older post disappears from profiles, search, links, or all X surfaces.</w:t>
      </w:r>
      <w:r>
        <w:rPr>
          <w:vertAlign w:val="superscript"/>
        </w:rPr>
        <w:footnoteReference w:id="7"/>
      </w:r>
      <w:r/>
    </w:p>
    <w:p>
      <w:r>
        <w:t>The cold-start scorer also provides a route for low-impression authors to receive exposure. A new account is not automatically disqualified. A separate VM reranker further changes candidate scores.</w:t>
      </w:r>
      <w:r>
        <w:rPr>
          <w:vertAlign w:val="superscript"/>
        </w:rPr>
        <w:footnoteReference w:id="8"/>
      </w:r>
      <w:r/>
    </w:p>
    <w:p>
      <w:r>
        <w:t>The practical inference is to create recognizable, useful posts for a specific community and keep producing new evidence over time. There is no supported rule that the first 15 minutes determine a post forever. Live experiments and unpublished anti-abuse rules also limit what source inspection can prove.</w:t>
      </w:r>
    </w:p>
    <w:p>
      <w:pPr>
        <w:pStyle w:val="Heading1"/>
        <w:pageBreakBefore/>
      </w:pPr>
      <w:r>
        <w:t>Ranking signals and posting decisions</w:t>
      </w:r>
    </w:p>
    <w:p>
      <w:r>
        <w:t>Selected published coefficients are shown below. They multiply predicted probabilities, except continuous dwell time, which multiplies a predicted continuous value. They do not multiply actual engagement counts. Ratios between them are not “one reply equals ten likes.”</w:t>
      </w:r>
      <w:r>
        <w:rPr>
          <w:vertAlign w:val="superscript"/>
        </w:rPr>
        <w:footnoteReference w:id="9"/>
      </w: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728"/>
        <w:gridCol w:w="3312"/>
        <w:gridCol w:w="1728"/>
      </w:tblGrid>
      <w:tr>
        <w:trPr>
          <w:cantSplit/>
          <w:tblHeader/>
        </w:trPr>
        <w:tc>
          <w:tcPr>
            <w:tcW w:type="dxa" w:w="3312"/>
            <w:vAlign w:val="center"/>
            <w:shd w:fill="333333"/>
            <w:tcMar>
              <w:top w:w="75" w:type="dxa"/>
              <w:bottom w:w="75" w:type="dxa"/>
              <w:left w:w="90" w:type="dxa"/>
              <w:right w:w="90" w:type="dxa"/>
            </w:tcMar>
          </w:tcPr>
          <w:p>
            <w:pPr>
              <w:spacing w:after="0" w:line="245" w:lineRule="auto"/>
            </w:pPr>
            <w:r>
              <w:rPr>
                <w:b/>
                <w:color w:val="FFFFFF"/>
                <w:sz w:val="20"/>
              </w:rPr>
              <w:t>Predicted signal</w:t>
            </w:r>
          </w:p>
        </w:tc>
        <w:tc>
          <w:tcPr>
            <w:tcW w:type="dxa" w:w="1728"/>
            <w:vAlign w:val="center"/>
            <w:shd w:fill="333333"/>
            <w:tcMar>
              <w:top w:w="75" w:type="dxa"/>
              <w:bottom w:w="75" w:type="dxa"/>
              <w:left w:w="90" w:type="dxa"/>
              <w:right w:w="90" w:type="dxa"/>
            </w:tcMar>
          </w:tcPr>
          <w:p>
            <w:pPr>
              <w:spacing w:after="0" w:line="245" w:lineRule="auto"/>
            </w:pPr>
            <w:r>
              <w:rPr>
                <w:b/>
                <w:color w:val="FFFFFF"/>
                <w:sz w:val="20"/>
              </w:rPr>
              <w:t>Coefficient</w:t>
            </w:r>
          </w:p>
        </w:tc>
        <w:tc>
          <w:tcPr>
            <w:tcW w:type="dxa" w:w="3312"/>
            <w:vAlign w:val="center"/>
            <w:shd w:fill="333333"/>
            <w:tcMar>
              <w:top w:w="75" w:type="dxa"/>
              <w:bottom w:w="75" w:type="dxa"/>
              <w:left w:w="90" w:type="dxa"/>
              <w:right w:w="90" w:type="dxa"/>
            </w:tcMar>
          </w:tcPr>
          <w:p>
            <w:pPr>
              <w:spacing w:after="0" w:line="245" w:lineRule="auto"/>
            </w:pPr>
            <w:r>
              <w:rPr>
                <w:b/>
                <w:color w:val="FFFFFF"/>
                <w:sz w:val="20"/>
              </w:rPr>
              <w:t>Predicted signal</w:t>
            </w:r>
          </w:p>
        </w:tc>
        <w:tc>
          <w:tcPr>
            <w:tcW w:type="dxa" w:w="1728"/>
            <w:vAlign w:val="center"/>
            <w:shd w:fill="333333"/>
            <w:tcMar>
              <w:top w:w="75" w:type="dxa"/>
              <w:bottom w:w="75" w:type="dxa"/>
              <w:left w:w="90" w:type="dxa"/>
              <w:right w:w="90" w:type="dxa"/>
            </w:tcMar>
          </w:tcPr>
          <w:p>
            <w:pPr>
              <w:spacing w:after="0" w:line="245" w:lineRule="auto"/>
            </w:pPr>
            <w:r>
              <w:rPr>
                <w:b/>
                <w:color w:val="FFFFFF"/>
                <w:sz w:val="20"/>
              </w:rPr>
              <w:t>Coefficient</w:t>
            </w:r>
          </w:p>
        </w:tc>
      </w:tr>
      <w:tr>
        <w:trPr>
          <w:cantSplit/>
        </w:trPr>
        <w:tc>
          <w:tcPr>
            <w:tcW w:type="dxa" w:w="3312"/>
            <w:vAlign w:val="center"/>
            <w:shd w:fill="FFFFFF"/>
            <w:tcMar>
              <w:top w:w="75" w:type="dxa"/>
              <w:bottom w:w="75" w:type="dxa"/>
              <w:left w:w="90" w:type="dxa"/>
              <w:right w:w="90" w:type="dxa"/>
            </w:tcMar>
          </w:tcPr>
          <w:p>
            <w:pPr>
              <w:spacing w:after="0" w:line="245" w:lineRule="auto"/>
            </w:pPr>
            <w:r>
              <w:rPr>
                <w:sz w:val="20"/>
              </w:rPr>
              <w:t>Like</w:t>
            </w:r>
          </w:p>
        </w:tc>
        <w:tc>
          <w:tcPr>
            <w:tcW w:type="dxa" w:w="1728"/>
            <w:vAlign w:val="center"/>
            <w:shd w:fill="FFFFFF"/>
            <w:tcMar>
              <w:top w:w="75" w:type="dxa"/>
              <w:bottom w:w="75" w:type="dxa"/>
              <w:left w:w="90" w:type="dxa"/>
              <w:right w:w="90" w:type="dxa"/>
            </w:tcMar>
          </w:tcPr>
          <w:p>
            <w:pPr>
              <w:spacing w:after="0" w:line="245" w:lineRule="auto"/>
            </w:pPr>
            <w:r>
              <w:rPr>
                <w:sz w:val="20"/>
              </w:rPr>
              <w:t>0.5</w:t>
            </w:r>
          </w:p>
        </w:tc>
        <w:tc>
          <w:tcPr>
            <w:tcW w:type="dxa" w:w="3312"/>
            <w:vAlign w:val="center"/>
            <w:shd w:fill="FFFFFF"/>
            <w:tcMar>
              <w:top w:w="75" w:type="dxa"/>
              <w:bottom w:w="75" w:type="dxa"/>
              <w:left w:w="90" w:type="dxa"/>
              <w:right w:w="90" w:type="dxa"/>
            </w:tcMar>
          </w:tcPr>
          <w:p>
            <w:pPr>
              <w:spacing w:after="0" w:line="245" w:lineRule="auto"/>
            </w:pPr>
            <w:r>
              <w:rPr>
                <w:sz w:val="20"/>
              </w:rPr>
              <w:t>Repost</w:t>
            </w:r>
          </w:p>
        </w:tc>
        <w:tc>
          <w:tcPr>
            <w:tcW w:type="dxa" w:w="1728"/>
            <w:vAlign w:val="center"/>
            <w:shd w:fill="FFFFFF"/>
            <w:tcMar>
              <w:top w:w="75" w:type="dxa"/>
              <w:bottom w:w="75" w:type="dxa"/>
              <w:left w:w="90" w:type="dxa"/>
              <w:right w:w="90" w:type="dxa"/>
            </w:tcMar>
          </w:tcPr>
          <w:p>
            <w:pPr>
              <w:spacing w:after="0" w:line="245" w:lineRule="auto"/>
            </w:pPr>
            <w:r>
              <w:rPr>
                <w:sz w:val="20"/>
              </w:rPr>
              <w:t>1.0</w:t>
            </w:r>
          </w:p>
        </w:tc>
      </w:tr>
      <w:tr>
        <w:trPr>
          <w:cantSplit/>
        </w:trPr>
        <w:tc>
          <w:tcPr>
            <w:tcW w:type="dxa" w:w="3312"/>
            <w:vAlign w:val="center"/>
            <w:shd w:fill="F3F3F3"/>
            <w:tcMar>
              <w:top w:w="75" w:type="dxa"/>
              <w:bottom w:w="75" w:type="dxa"/>
              <w:left w:w="90" w:type="dxa"/>
              <w:right w:w="90" w:type="dxa"/>
            </w:tcMar>
          </w:tcPr>
          <w:p>
            <w:pPr>
              <w:spacing w:after="0" w:line="245" w:lineRule="auto"/>
            </w:pPr>
            <w:r>
              <w:rPr>
                <w:sz w:val="20"/>
              </w:rPr>
              <w:t>Reply</w:t>
            </w:r>
          </w:p>
        </w:tc>
        <w:tc>
          <w:tcPr>
            <w:tcW w:type="dxa" w:w="1728"/>
            <w:vAlign w:val="center"/>
            <w:shd w:fill="F3F3F3"/>
            <w:tcMar>
              <w:top w:w="75" w:type="dxa"/>
              <w:bottom w:w="75" w:type="dxa"/>
              <w:left w:w="90" w:type="dxa"/>
              <w:right w:w="90" w:type="dxa"/>
            </w:tcMar>
          </w:tcPr>
          <w:p>
            <w:pPr>
              <w:spacing w:after="0" w:line="245" w:lineRule="auto"/>
            </w:pPr>
            <w:r>
              <w:rPr>
                <w:sz w:val="20"/>
              </w:rPr>
              <w:t>5.0</w:t>
            </w:r>
          </w:p>
        </w:tc>
        <w:tc>
          <w:tcPr>
            <w:tcW w:type="dxa" w:w="3312"/>
            <w:vAlign w:val="center"/>
            <w:shd w:fill="F3F3F3"/>
            <w:tcMar>
              <w:top w:w="75" w:type="dxa"/>
              <w:bottom w:w="75" w:type="dxa"/>
              <w:left w:w="90" w:type="dxa"/>
              <w:right w:w="90" w:type="dxa"/>
            </w:tcMar>
          </w:tcPr>
          <w:p>
            <w:pPr>
              <w:spacing w:after="0" w:line="245" w:lineRule="auto"/>
            </w:pPr>
            <w:r>
              <w:rPr>
                <w:sz w:val="20"/>
              </w:rPr>
              <w:t>Quote</w:t>
            </w:r>
          </w:p>
        </w:tc>
        <w:tc>
          <w:tcPr>
            <w:tcW w:type="dxa" w:w="1728"/>
            <w:vAlign w:val="center"/>
            <w:shd w:fill="F3F3F3"/>
            <w:tcMar>
              <w:top w:w="75" w:type="dxa"/>
              <w:bottom w:w="75" w:type="dxa"/>
              <w:left w:w="90" w:type="dxa"/>
              <w:right w:w="90" w:type="dxa"/>
            </w:tcMar>
          </w:tcPr>
          <w:p>
            <w:pPr>
              <w:spacing w:after="0" w:line="245" w:lineRule="auto"/>
            </w:pPr>
            <w:r>
              <w:rPr>
                <w:sz w:val="20"/>
              </w:rPr>
              <w:t>5.0</w:t>
            </w:r>
          </w:p>
        </w:tc>
      </w:tr>
      <w:tr>
        <w:trPr>
          <w:cantSplit/>
        </w:trPr>
        <w:tc>
          <w:tcPr>
            <w:tcW w:type="dxa" w:w="3312"/>
            <w:vAlign w:val="center"/>
            <w:shd w:fill="FFFFFF"/>
            <w:tcMar>
              <w:top w:w="75" w:type="dxa"/>
              <w:bottom w:w="75" w:type="dxa"/>
              <w:left w:w="90" w:type="dxa"/>
              <w:right w:w="90" w:type="dxa"/>
            </w:tcMar>
          </w:tcPr>
          <w:p>
            <w:pPr>
              <w:spacing w:after="0" w:line="245" w:lineRule="auto"/>
            </w:pPr>
            <w:r>
              <w:rPr>
                <w:sz w:val="20"/>
              </w:rPr>
              <w:t>DM share</w:t>
            </w:r>
          </w:p>
        </w:tc>
        <w:tc>
          <w:tcPr>
            <w:tcW w:type="dxa" w:w="1728"/>
            <w:vAlign w:val="center"/>
            <w:shd w:fill="FFFFFF"/>
            <w:tcMar>
              <w:top w:w="75" w:type="dxa"/>
              <w:bottom w:w="75" w:type="dxa"/>
              <w:left w:w="90" w:type="dxa"/>
              <w:right w:w="90" w:type="dxa"/>
            </w:tcMar>
          </w:tcPr>
          <w:p>
            <w:pPr>
              <w:spacing w:after="0" w:line="245" w:lineRule="auto"/>
            </w:pPr>
            <w:r>
              <w:rPr>
                <w:sz w:val="20"/>
              </w:rPr>
              <w:t>5.0</w:t>
            </w:r>
          </w:p>
        </w:tc>
        <w:tc>
          <w:tcPr>
            <w:tcW w:type="dxa" w:w="3312"/>
            <w:vAlign w:val="center"/>
            <w:shd w:fill="FFFFFF"/>
            <w:tcMar>
              <w:top w:w="75" w:type="dxa"/>
              <w:bottom w:w="75" w:type="dxa"/>
              <w:left w:w="90" w:type="dxa"/>
              <w:right w:w="90" w:type="dxa"/>
            </w:tcMar>
          </w:tcPr>
          <w:p>
            <w:pPr>
              <w:spacing w:after="0" w:line="245" w:lineRule="auto"/>
            </w:pPr>
            <w:r>
              <w:rPr>
                <w:sz w:val="20"/>
              </w:rPr>
              <w:t>Copy link share</w:t>
            </w:r>
          </w:p>
        </w:tc>
        <w:tc>
          <w:tcPr>
            <w:tcW w:type="dxa" w:w="1728"/>
            <w:vAlign w:val="center"/>
            <w:shd w:fill="FFFFFF"/>
            <w:tcMar>
              <w:top w:w="75" w:type="dxa"/>
              <w:bottom w:w="75" w:type="dxa"/>
              <w:left w:w="90" w:type="dxa"/>
              <w:right w:w="90" w:type="dxa"/>
            </w:tcMar>
          </w:tcPr>
          <w:p>
            <w:pPr>
              <w:spacing w:after="0" w:line="245" w:lineRule="auto"/>
            </w:pPr>
            <w:r>
              <w:rPr>
                <w:sz w:val="20"/>
              </w:rPr>
              <w:t>20.0</w:t>
            </w:r>
          </w:p>
        </w:tc>
      </w:tr>
      <w:tr>
        <w:trPr>
          <w:cantSplit/>
        </w:trPr>
        <w:tc>
          <w:tcPr>
            <w:tcW w:type="dxa" w:w="3312"/>
            <w:vAlign w:val="center"/>
            <w:shd w:fill="F3F3F3"/>
            <w:tcMar>
              <w:top w:w="75" w:type="dxa"/>
              <w:bottom w:w="75" w:type="dxa"/>
              <w:left w:w="90" w:type="dxa"/>
              <w:right w:w="90" w:type="dxa"/>
            </w:tcMar>
          </w:tcPr>
          <w:p>
            <w:pPr>
              <w:spacing w:after="0" w:line="245" w:lineRule="auto"/>
            </w:pPr>
            <w:r>
              <w:rPr>
                <w:sz w:val="20"/>
              </w:rPr>
              <w:t>Follow author</w:t>
            </w:r>
          </w:p>
        </w:tc>
        <w:tc>
          <w:tcPr>
            <w:tcW w:type="dxa" w:w="1728"/>
            <w:vAlign w:val="center"/>
            <w:shd w:fill="F3F3F3"/>
            <w:tcMar>
              <w:top w:w="75" w:type="dxa"/>
              <w:bottom w:w="75" w:type="dxa"/>
              <w:left w:w="90" w:type="dxa"/>
              <w:right w:w="90" w:type="dxa"/>
            </w:tcMar>
          </w:tcPr>
          <w:p>
            <w:pPr>
              <w:spacing w:after="0" w:line="245" w:lineRule="auto"/>
            </w:pPr>
            <w:r>
              <w:rPr>
                <w:sz w:val="20"/>
              </w:rPr>
              <w:t>4.0</w:t>
            </w:r>
          </w:p>
        </w:tc>
        <w:tc>
          <w:tcPr>
            <w:tcW w:type="dxa" w:w="3312"/>
            <w:vAlign w:val="center"/>
            <w:shd w:fill="F3F3F3"/>
            <w:tcMar>
              <w:top w:w="75" w:type="dxa"/>
              <w:bottom w:w="75" w:type="dxa"/>
              <w:left w:w="90" w:type="dxa"/>
              <w:right w:w="90" w:type="dxa"/>
            </w:tcMar>
          </w:tcPr>
          <w:p>
            <w:pPr>
              <w:spacing w:after="0" w:line="245" w:lineRule="auto"/>
            </w:pPr>
            <w:r>
              <w:rPr>
                <w:sz w:val="20"/>
              </w:rPr>
              <w:t>Open external link</w:t>
            </w:r>
          </w:p>
        </w:tc>
        <w:tc>
          <w:tcPr>
            <w:tcW w:type="dxa" w:w="1728"/>
            <w:vAlign w:val="center"/>
            <w:shd w:fill="F3F3F3"/>
            <w:tcMar>
              <w:top w:w="75" w:type="dxa"/>
              <w:bottom w:w="75" w:type="dxa"/>
              <w:left w:w="90" w:type="dxa"/>
              <w:right w:w="90" w:type="dxa"/>
            </w:tcMar>
          </w:tcPr>
          <w:p>
            <w:pPr>
              <w:spacing w:after="0" w:line="245" w:lineRule="auto"/>
            </w:pPr>
            <w:r>
              <w:rPr>
                <w:sz w:val="20"/>
              </w:rPr>
              <w:t>0.2</w:t>
            </w:r>
          </w:p>
        </w:tc>
      </w:tr>
      <w:tr>
        <w:trPr>
          <w:cantSplit/>
        </w:trPr>
        <w:tc>
          <w:tcPr>
            <w:tcW w:type="dxa" w:w="3312"/>
            <w:vAlign w:val="center"/>
            <w:shd w:fill="FFFFFF"/>
            <w:tcMar>
              <w:top w:w="75" w:type="dxa"/>
              <w:bottom w:w="75" w:type="dxa"/>
              <w:left w:w="90" w:type="dxa"/>
              <w:right w:w="90" w:type="dxa"/>
            </w:tcMar>
          </w:tcPr>
          <w:p>
            <w:pPr>
              <w:spacing w:after="0" w:line="245" w:lineRule="auto"/>
            </w:pPr>
            <w:r>
              <w:rPr>
                <w:sz w:val="20"/>
              </w:rPr>
              <w:t>Continuous dwell time</w:t>
            </w:r>
          </w:p>
        </w:tc>
        <w:tc>
          <w:tcPr>
            <w:tcW w:type="dxa" w:w="1728"/>
            <w:vAlign w:val="center"/>
            <w:shd w:fill="FFFFFF"/>
            <w:tcMar>
              <w:top w:w="75" w:type="dxa"/>
              <w:bottom w:w="75" w:type="dxa"/>
              <w:left w:w="90" w:type="dxa"/>
              <w:right w:w="90" w:type="dxa"/>
            </w:tcMar>
          </w:tcPr>
          <w:p>
            <w:pPr>
              <w:spacing w:after="0" w:line="245" w:lineRule="auto"/>
            </w:pPr>
            <w:r>
              <w:rPr>
                <w:sz w:val="20"/>
              </w:rPr>
              <w:t>0.004</w:t>
            </w:r>
          </w:p>
        </w:tc>
        <w:tc>
          <w:tcPr>
            <w:tcW w:type="dxa" w:w="3312"/>
            <w:vAlign w:val="center"/>
            <w:shd w:fill="FFFFFF"/>
            <w:tcMar>
              <w:top w:w="75" w:type="dxa"/>
              <w:bottom w:w="75" w:type="dxa"/>
              <w:left w:w="90" w:type="dxa"/>
              <w:right w:w="90" w:type="dxa"/>
            </w:tcMar>
          </w:tcPr>
          <w:p>
            <w:pPr>
              <w:spacing w:after="0" w:line="245" w:lineRule="auto"/>
            </w:pPr>
            <w:r>
              <w:rPr>
                <w:sz w:val="20"/>
              </w:rPr>
              <w:t>Not interested</w:t>
            </w:r>
          </w:p>
        </w:tc>
        <w:tc>
          <w:tcPr>
            <w:tcW w:type="dxa" w:w="1728"/>
            <w:vAlign w:val="center"/>
            <w:shd w:fill="FFFFFF"/>
            <w:tcMar>
              <w:top w:w="75" w:type="dxa"/>
              <w:bottom w:w="75" w:type="dxa"/>
              <w:left w:w="90" w:type="dxa"/>
              <w:right w:w="90" w:type="dxa"/>
            </w:tcMar>
          </w:tcPr>
          <w:p>
            <w:pPr>
              <w:spacing w:after="0" w:line="245" w:lineRule="auto"/>
            </w:pPr>
            <w:r>
              <w:rPr>
                <w:sz w:val="20"/>
              </w:rPr>
              <w:t>−43.2</w:t>
            </w:r>
          </w:p>
        </w:tc>
      </w:tr>
      <w:tr>
        <w:trPr>
          <w:cantSplit/>
        </w:trPr>
        <w:tc>
          <w:tcPr>
            <w:tcW w:type="dxa" w:w="3312"/>
            <w:vAlign w:val="center"/>
            <w:shd w:fill="F3F3F3"/>
            <w:tcMar>
              <w:top w:w="75" w:type="dxa"/>
              <w:bottom w:w="75" w:type="dxa"/>
              <w:left w:w="90" w:type="dxa"/>
              <w:right w:w="90" w:type="dxa"/>
            </w:tcMar>
          </w:tcPr>
          <w:p>
            <w:pPr>
              <w:spacing w:after="0" w:line="245" w:lineRule="auto"/>
            </w:pPr>
            <w:r>
              <w:rPr>
                <w:sz w:val="20"/>
              </w:rPr>
              <w:t>Mute author</w:t>
            </w:r>
          </w:p>
        </w:tc>
        <w:tc>
          <w:tcPr>
            <w:tcW w:type="dxa" w:w="1728"/>
            <w:vAlign w:val="center"/>
            <w:shd w:fill="F3F3F3"/>
            <w:tcMar>
              <w:top w:w="75" w:type="dxa"/>
              <w:bottom w:w="75" w:type="dxa"/>
              <w:left w:w="90" w:type="dxa"/>
              <w:right w:w="90" w:type="dxa"/>
            </w:tcMar>
          </w:tcPr>
          <w:p>
            <w:pPr>
              <w:spacing w:after="0" w:line="245" w:lineRule="auto"/>
            </w:pPr>
            <w:r>
              <w:rPr>
                <w:sz w:val="20"/>
              </w:rPr>
              <w:t>−58.8</w:t>
            </w:r>
          </w:p>
        </w:tc>
        <w:tc>
          <w:tcPr>
            <w:tcW w:type="dxa" w:w="3312"/>
            <w:vAlign w:val="center"/>
            <w:shd w:fill="F3F3F3"/>
            <w:tcMar>
              <w:top w:w="75" w:type="dxa"/>
              <w:bottom w:w="75" w:type="dxa"/>
              <w:left w:w="90" w:type="dxa"/>
              <w:right w:w="90" w:type="dxa"/>
            </w:tcMar>
          </w:tcPr>
          <w:p>
            <w:pPr>
              <w:spacing w:after="0" w:line="245" w:lineRule="auto"/>
            </w:pPr>
            <w:r>
              <w:rPr>
                <w:sz w:val="20"/>
              </w:rPr>
              <w:t>Block author</w:t>
            </w:r>
          </w:p>
        </w:tc>
        <w:tc>
          <w:tcPr>
            <w:tcW w:type="dxa" w:w="1728"/>
            <w:vAlign w:val="center"/>
            <w:shd w:fill="F3F3F3"/>
            <w:tcMar>
              <w:top w:w="75" w:type="dxa"/>
              <w:bottom w:w="75" w:type="dxa"/>
              <w:left w:w="90" w:type="dxa"/>
              <w:right w:w="90" w:type="dxa"/>
            </w:tcMar>
          </w:tcPr>
          <w:p>
            <w:pPr>
              <w:spacing w:after="0" w:line="245" w:lineRule="auto"/>
            </w:pPr>
            <w:r>
              <w:rPr>
                <w:sz w:val="20"/>
              </w:rPr>
              <w:t>−31.2</w:t>
            </w:r>
          </w:p>
        </w:tc>
      </w:tr>
      <w:tr>
        <w:trPr>
          <w:cantSplit/>
        </w:trPr>
        <w:tc>
          <w:tcPr>
            <w:tcW w:type="dxa" w:w="3312"/>
            <w:vAlign w:val="center"/>
            <w:shd w:fill="FFFFFF"/>
            <w:tcMar>
              <w:top w:w="75" w:type="dxa"/>
              <w:bottom w:w="75" w:type="dxa"/>
              <w:left w:w="90" w:type="dxa"/>
              <w:right w:w="90" w:type="dxa"/>
            </w:tcMar>
          </w:tcPr>
          <w:p>
            <w:pPr>
              <w:spacing w:after="0" w:line="245" w:lineRule="auto"/>
            </w:pPr>
            <w:r>
              <w:rPr>
                <w:sz w:val="20"/>
              </w:rPr>
              <w:t>Report</w:t>
            </w:r>
          </w:p>
        </w:tc>
        <w:tc>
          <w:tcPr>
            <w:tcW w:type="dxa" w:w="1728"/>
            <w:vAlign w:val="center"/>
            <w:shd w:fill="FFFFFF"/>
            <w:tcMar>
              <w:top w:w="75" w:type="dxa"/>
              <w:bottom w:w="75" w:type="dxa"/>
              <w:left w:w="90" w:type="dxa"/>
              <w:right w:w="90" w:type="dxa"/>
            </w:tcMar>
          </w:tcPr>
          <w:p>
            <w:pPr>
              <w:spacing w:after="0" w:line="245" w:lineRule="auto"/>
            </w:pPr>
            <w:r>
              <w:rPr>
                <w:sz w:val="20"/>
              </w:rPr>
              <w:t>−234.0</w:t>
            </w:r>
          </w:p>
        </w:tc>
        <w:tc>
          <w:tcPr>
            <w:tcW w:type="dxa" w:w="3312"/>
            <w:vAlign w:val="center"/>
            <w:shd w:fill="FFFFFF"/>
            <w:tcMar>
              <w:top w:w="75" w:type="dxa"/>
              <w:bottom w:w="75" w:type="dxa"/>
              <w:left w:w="90" w:type="dxa"/>
              <w:right w:w="90" w:type="dxa"/>
            </w:tcMar>
          </w:tcPr>
          <w:p>
            <w:pPr>
              <w:spacing w:after="0" w:line="245" w:lineRule="auto"/>
            </w:pPr>
            <w:r>
              <w:rPr>
                <w:sz w:val="20"/>
              </w:rPr>
              <w:t>Video quality view</w:t>
            </w:r>
          </w:p>
        </w:tc>
        <w:tc>
          <w:tcPr>
            <w:tcW w:type="dxa" w:w="1728"/>
            <w:vAlign w:val="center"/>
            <w:shd w:fill="FFFFFF"/>
            <w:tcMar>
              <w:top w:w="75" w:type="dxa"/>
              <w:bottom w:w="75" w:type="dxa"/>
              <w:left w:w="90" w:type="dxa"/>
              <w:right w:w="90" w:type="dxa"/>
            </w:tcMar>
          </w:tcPr>
          <w:p>
            <w:pPr>
              <w:spacing w:after="0" w:line="245" w:lineRule="auto"/>
            </w:pPr>
            <w:r>
              <w:rPr>
                <w:sz w:val="20"/>
              </w:rPr>
              <w:t>0.0</w:t>
            </w:r>
          </w:p>
        </w:tc>
      </w:tr>
    </w:tbl>
    <w:p>
      <w:pPr>
        <w:spacing w:after="0"/>
      </w:pPr>
    </w:p>
    <w:p>
      <w:r>
        <w:t>A higher probability of being worth sharing is a sensible objective. Create a useful answer, demo, dataset, or explanation someone can send to a colleague. A large coefficient alone does not establish that a behavior drives most reach: probability distributions, calibration, other terms, and later ranking also matter.</w:t>
      </w:r>
    </w:p>
    <w:p>
      <w:pPr>
        <w:pStyle w:val="Heading2"/>
      </w:pPr>
      <w:r>
        <w:t>What to do and what to 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shd w:fill="333333"/>
            <w:tcMar>
              <w:top w:w="75" w:type="dxa"/>
              <w:bottom w:w="75" w:type="dxa"/>
              <w:left w:w="90" w:type="dxa"/>
              <w:right w:w="90" w:type="dxa"/>
            </w:tcMar>
          </w:tcPr>
          <w:p>
            <w:pPr>
              <w:spacing w:after="0" w:line="245" w:lineRule="auto"/>
            </w:pPr>
            <w:r>
              <w:rPr>
                <w:b/>
                <w:color w:val="FFFFFF"/>
                <w:sz w:val="20"/>
              </w:rPr>
              <w:t>Question</w:t>
            </w:r>
          </w:p>
        </w:tc>
        <w:tc>
          <w:tcPr>
            <w:tcW w:type="dxa" w:w="7848"/>
            <w:vAlign w:val="center"/>
            <w:shd w:fill="333333"/>
            <w:tcMar>
              <w:top w:w="75" w:type="dxa"/>
              <w:bottom w:w="75" w:type="dxa"/>
              <w:left w:w="90" w:type="dxa"/>
              <w:right w:w="90" w:type="dxa"/>
            </w:tcMar>
          </w:tcPr>
          <w:p>
            <w:pPr>
              <w:spacing w:after="0" w:line="245" w:lineRule="auto"/>
            </w:pPr>
            <w:r>
              <w:rPr>
                <w:b/>
                <w:color w:val="FFFFFF"/>
                <w:sz w:val="20"/>
              </w:rPr>
              <w:t>Evidence based decision</w:t>
            </w:r>
          </w:p>
        </w:tc>
      </w:tr>
      <w:tr>
        <w:trPr>
          <w:cantSplit/>
        </w:trPr>
        <w:tc>
          <w:tcPr>
            <w:tcW w:type="dxa" w:w="2232"/>
            <w:vAlign w:val="center"/>
            <w:shd w:fill="FFFFFF"/>
            <w:tcMar>
              <w:top w:w="75" w:type="dxa"/>
              <w:bottom w:w="75" w:type="dxa"/>
              <w:left w:w="90" w:type="dxa"/>
              <w:right w:w="90" w:type="dxa"/>
            </w:tcMar>
          </w:tcPr>
          <w:p>
            <w:pPr>
              <w:spacing w:after="0" w:line="245" w:lineRule="auto"/>
            </w:pPr>
            <w:r>
              <w:rPr>
                <w:sz w:val="20"/>
              </w:rPr>
              <w:t>Replies and mutuals</w:t>
            </w:r>
          </w:p>
        </w:tc>
        <w:tc>
          <w:tcPr>
            <w:tcW w:type="dxa" w:w="7848"/>
            <w:vAlign w:val="center"/>
            <w:shd w:fill="FFFFFF"/>
            <w:tcMar>
              <w:top w:w="75" w:type="dxa"/>
              <w:bottom w:w="75" w:type="dxa"/>
              <w:left w:w="90" w:type="dxa"/>
              <w:right w:w="90" w:type="dxa"/>
            </w:tcMar>
          </w:tcPr>
          <w:p>
            <w:pPr>
              <w:spacing w:after="0" w:line="245" w:lineRule="auto"/>
            </w:pPr>
            <w:r>
              <w:rPr>
                <w:sz w:val="20"/>
              </w:rPr>
              <w:t>The July change adds to predicted reply weight on eligible original posts from mutual follows. Build actual relationships; do not run follow-for-follow exchanges. Reply ranking is a separate surface.</w:t>
            </w:r>
            <w:r>
              <w:rPr>
                <w:sz w:val="20"/>
                <w:vertAlign w:val="superscript"/>
              </w:rPr>
              <w:footnoteReference w:id="10"/>
            </w:r>
            <w:r>
              <w:rPr>
                <w:sz w:val="20"/>
              </w:rPr>
            </w:r>
          </w:p>
        </w:tc>
      </w:tr>
      <w:tr>
        <w:trPr>
          <w:cantSplit/>
        </w:trPr>
        <w:tc>
          <w:tcPr>
            <w:tcW w:type="dxa" w:w="2232"/>
            <w:vAlign w:val="center"/>
            <w:shd w:fill="F3F3F3"/>
            <w:tcMar>
              <w:top w:w="75" w:type="dxa"/>
              <w:bottom w:w="75" w:type="dxa"/>
              <w:left w:w="90" w:type="dxa"/>
              <w:right w:w="90" w:type="dxa"/>
            </w:tcMar>
          </w:tcPr>
          <w:p>
            <w:pPr>
              <w:spacing w:after="0" w:line="245" w:lineRule="auto"/>
            </w:pPr>
            <w:r>
              <w:rPr>
                <w:sz w:val="20"/>
              </w:rPr>
              <w:t>Links</w:t>
            </w:r>
          </w:p>
        </w:tc>
        <w:tc>
          <w:tcPr>
            <w:tcW w:type="dxa" w:w="7848"/>
            <w:vAlign w:val="center"/>
            <w:shd w:fill="F3F3F3"/>
            <w:tcMar>
              <w:top w:w="75" w:type="dxa"/>
              <w:bottom w:w="75" w:type="dxa"/>
              <w:left w:w="90" w:type="dxa"/>
              <w:right w:w="90" w:type="dxa"/>
            </w:tcMar>
          </w:tcPr>
          <w:p>
            <w:pPr>
              <w:spacing w:after="0" w:line="245" w:lineRule="auto"/>
            </w:pPr>
            <w:r>
              <w:rPr>
                <w:sz w:val="20"/>
              </w:rPr>
              <w:t>No universal link penalty was established by the inspected sources. Put links where readers can act; test link placement using visits and activations, not reach alone.</w:t>
            </w:r>
          </w:p>
        </w:tc>
      </w:tr>
      <w:tr>
        <w:trPr>
          <w:cantSplit/>
        </w:trPr>
        <w:tc>
          <w:tcPr>
            <w:tcW w:type="dxa" w:w="2232"/>
            <w:vAlign w:val="center"/>
            <w:shd w:fill="FFFFFF"/>
            <w:tcMar>
              <w:top w:w="75" w:type="dxa"/>
              <w:bottom w:w="75" w:type="dxa"/>
              <w:left w:w="90" w:type="dxa"/>
              <w:right w:w="90" w:type="dxa"/>
            </w:tcMar>
          </w:tcPr>
          <w:p>
            <w:pPr>
              <w:spacing w:after="0" w:line="245" w:lineRule="auto"/>
            </w:pPr>
            <w:r>
              <w:rPr>
                <w:sz w:val="20"/>
              </w:rPr>
              <w:t>Video versus text</w:t>
            </w:r>
          </w:p>
        </w:tc>
        <w:tc>
          <w:tcPr>
            <w:tcW w:type="dxa" w:w="7848"/>
            <w:vAlign w:val="center"/>
            <w:shd w:fill="FFFFFF"/>
            <w:tcMar>
              <w:top w:w="75" w:type="dxa"/>
              <w:bottom w:w="75" w:type="dxa"/>
              <w:left w:w="90" w:type="dxa"/>
              <w:right w:w="90" w:type="dxa"/>
            </w:tcMar>
          </w:tcPr>
          <w:p>
            <w:pPr>
              <w:spacing w:after="0" w:line="245" w:lineRule="auto"/>
            </w:pPr>
            <w:r>
              <w:rPr>
                <w:sz w:val="20"/>
              </w:rPr>
              <w:t>There is no established blanket video multiplier. Use video for visible behavior; use text or diagrams for one precise idea.</w:t>
            </w:r>
          </w:p>
        </w:tc>
      </w:tr>
      <w:tr>
        <w:trPr>
          <w:cantSplit/>
        </w:trPr>
        <w:tc>
          <w:tcPr>
            <w:tcW w:type="dxa" w:w="2232"/>
            <w:vAlign w:val="center"/>
            <w:shd w:fill="F3F3F3"/>
            <w:tcMar>
              <w:top w:w="75" w:type="dxa"/>
              <w:bottom w:w="75" w:type="dxa"/>
              <w:left w:w="90" w:type="dxa"/>
              <w:right w:w="90" w:type="dxa"/>
            </w:tcMar>
          </w:tcPr>
          <w:p>
            <w:pPr>
              <w:spacing w:after="0" w:line="245" w:lineRule="auto"/>
            </w:pPr>
            <w:r>
              <w:rPr>
                <w:sz w:val="20"/>
              </w:rPr>
              <w:t>Premium and Articles</w:t>
            </w:r>
          </w:p>
        </w:tc>
        <w:tc>
          <w:tcPr>
            <w:tcW w:type="dxa" w:w="7848"/>
            <w:vAlign w:val="center"/>
            <w:shd w:fill="F3F3F3"/>
            <w:tcMar>
              <w:top w:w="75" w:type="dxa"/>
              <w:bottom w:w="75" w:type="dxa"/>
              <w:left w:w="90" w:type="dxa"/>
              <w:right w:w="90" w:type="dxa"/>
            </w:tcMar>
          </w:tcPr>
          <w:p>
            <w:pPr>
              <w:spacing w:after="0" w:line="245" w:lineRule="auto"/>
            </w:pPr>
            <w:r>
              <w:rPr>
                <w:sz w:val="20"/>
              </w:rPr>
              <w:t>Premium has reply prioritization and Article access according to X Help. A badge is not guaranteed For You distribution; the account already has one.</w:t>
            </w:r>
            <w:r>
              <w:rPr>
                <w:sz w:val="20"/>
                <w:vertAlign w:val="superscript"/>
              </w:rPr>
              <w:footnoteReference w:id="11"/>
            </w:r>
            <w:r>
              <w:rPr>
                <w:sz w:val="20"/>
              </w:rPr>
            </w:r>
          </w:p>
        </w:tc>
      </w:tr>
      <w:tr>
        <w:trPr>
          <w:cantSplit/>
        </w:trPr>
        <w:tc>
          <w:tcPr>
            <w:tcW w:type="dxa" w:w="2232"/>
            <w:vAlign w:val="center"/>
            <w:shd w:fill="FFFFFF"/>
            <w:tcMar>
              <w:top w:w="75" w:type="dxa"/>
              <w:bottom w:w="75" w:type="dxa"/>
              <w:left w:w="90" w:type="dxa"/>
              <w:right w:w="90" w:type="dxa"/>
            </w:tcMar>
          </w:tcPr>
          <w:p>
            <w:pPr>
              <w:spacing w:after="0" w:line="245" w:lineRule="auto"/>
            </w:pPr>
            <w:r>
              <w:rPr>
                <w:sz w:val="20"/>
              </w:rPr>
              <w:t>Community amplification</w:t>
            </w:r>
          </w:p>
        </w:tc>
        <w:tc>
          <w:tcPr>
            <w:tcW w:type="dxa" w:w="7848"/>
            <w:vAlign w:val="center"/>
            <w:shd w:fill="FFFFFF"/>
            <w:tcMar>
              <w:top w:w="75" w:type="dxa"/>
              <w:bottom w:w="75" w:type="dxa"/>
              <w:left w:w="90" w:type="dxa"/>
              <w:right w:w="90" w:type="dxa"/>
            </w:tcMar>
          </w:tcPr>
          <w:p>
            <w:pPr>
              <w:spacing w:after="0" w:line="245" w:lineRule="auto"/>
            </w:pPr>
            <w:r>
              <w:rPr>
                <w:sz w:val="20"/>
              </w:rPr>
              <w:t>Authentic recommendations are useful. X prohibits engagement exchanges, mass duplicative replies, and artificial metric inflation.</w:t>
            </w:r>
            <w:r>
              <w:rPr>
                <w:sz w:val="20"/>
                <w:vertAlign w:val="superscript"/>
              </w:rPr>
              <w:footnoteReference w:id="12"/>
            </w:r>
            <w:r>
              <w:rPr>
                <w:sz w:val="20"/>
              </w:rPr>
            </w:r>
          </w:p>
        </w:tc>
      </w:tr>
    </w:tbl>
    <w:p>
      <w:pPr>
        <w:spacing w:after="0"/>
      </w:pPr>
    </w:p>
    <w:p>
      <w:r>
        <w:t>Do not optimize a post around “150× author replies,” a required hashtag count, exact daily posting quotas, or mandatory link hiding. The evidence does not support these as universal current rules. Cadence and timing below are experiments for Erebus.</w:t>
      </w:r>
    </w:p>
    <w:p>
      <w:pPr>
        <w:pStyle w:val="Heading1"/>
        <w:pageBreakBefore/>
      </w:pPr>
      <w:r>
        <w:t>Positioning and product truth</w:t>
      </w:r>
    </w:p>
    <w:p>
      <w:r>
        <w:t xml:space="preserve">A stronger current description is: </w:t>
      </w:r>
      <w:r>
        <w:rPr>
          <w:b/>
        </w:rPr>
        <w:t>Confidential negotiation and shielded settlement for agent workflows on Starknet, with disclosure scoped to one deal.</w:t>
      </w:r>
      <w:r>
        <w:t xml:space="preserve"> Pair it with a visible boundary: counterparties and transaction metadata remain public. Keep “fully private,” “anonymous,” and “untraceable” out of the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248"/>
        <w:gridCol w:w="4032"/>
      </w:tblGrid>
      <w:tr>
        <w:trPr>
          <w:cantSplit/>
          <w:tblHeader/>
        </w:trPr>
        <w:tc>
          <w:tcPr>
            <w:tcW w:type="dxa" w:w="1800"/>
            <w:vAlign w:val="center"/>
            <w:shd w:fill="333333"/>
            <w:tcMar>
              <w:top w:w="75" w:type="dxa"/>
              <w:bottom w:w="75" w:type="dxa"/>
              <w:left w:w="90" w:type="dxa"/>
              <w:right w:w="90" w:type="dxa"/>
            </w:tcMar>
          </w:tcPr>
          <w:p>
            <w:pPr>
              <w:spacing w:after="0" w:line="245" w:lineRule="auto"/>
            </w:pPr>
            <w:r>
              <w:rPr>
                <w:b/>
                <w:color w:val="FFFFFF"/>
                <w:sz w:val="20"/>
              </w:rPr>
              <w:t>Capability</w:t>
            </w:r>
          </w:p>
        </w:tc>
        <w:tc>
          <w:tcPr>
            <w:tcW w:type="dxa" w:w="4248"/>
            <w:vAlign w:val="center"/>
            <w:shd w:fill="333333"/>
            <w:tcMar>
              <w:top w:w="75" w:type="dxa"/>
              <w:bottom w:w="75" w:type="dxa"/>
              <w:left w:w="90" w:type="dxa"/>
              <w:right w:w="90" w:type="dxa"/>
            </w:tcMar>
          </w:tcPr>
          <w:p>
            <w:pPr>
              <w:spacing w:after="0" w:line="245" w:lineRule="auto"/>
            </w:pPr>
            <w:r>
              <w:rPr>
                <w:b/>
                <w:color w:val="FFFFFF"/>
                <w:sz w:val="20"/>
              </w:rPr>
              <w:t>Current evidence</w:t>
            </w:r>
          </w:p>
        </w:tc>
        <w:tc>
          <w:tcPr>
            <w:tcW w:type="dxa" w:w="4032"/>
            <w:vAlign w:val="center"/>
            <w:shd w:fill="333333"/>
            <w:tcMar>
              <w:top w:w="75" w:type="dxa"/>
              <w:bottom w:w="75" w:type="dxa"/>
              <w:left w:w="90" w:type="dxa"/>
              <w:right w:w="90" w:type="dxa"/>
            </w:tcMar>
          </w:tcPr>
          <w:p>
            <w:pPr>
              <w:spacing w:after="0" w:line="245" w:lineRule="auto"/>
            </w:pPr>
            <w:r>
              <w:rPr>
                <w:b/>
                <w:color w:val="FFFFFF"/>
                <w:sz w:val="20"/>
              </w:rPr>
              <w:t>Commercial implication</w:t>
            </w:r>
          </w:p>
        </w:tc>
      </w:tr>
      <w:tr>
        <w:trPr>
          <w:cantSplit/>
        </w:trPr>
        <w:tc>
          <w:tcPr>
            <w:tcW w:type="dxa" w:w="1800"/>
            <w:vAlign w:val="center"/>
            <w:shd w:fill="FFFFFF"/>
            <w:tcMar>
              <w:top w:w="75" w:type="dxa"/>
              <w:bottom w:w="75" w:type="dxa"/>
              <w:left w:w="90" w:type="dxa"/>
              <w:right w:w="90" w:type="dxa"/>
            </w:tcMar>
          </w:tcPr>
          <w:p>
            <w:pPr>
              <w:spacing w:after="0" w:line="245" w:lineRule="auto"/>
            </w:pPr>
            <w:r>
              <w:rPr>
                <w:sz w:val="20"/>
              </w:rPr>
              <w:t>Confidential deal contents</w:t>
            </w:r>
          </w:p>
        </w:tc>
        <w:tc>
          <w:tcPr>
            <w:tcW w:type="dxa" w:w="4248"/>
            <w:vAlign w:val="center"/>
            <w:shd w:fill="FFFFFF"/>
            <w:tcMar>
              <w:top w:w="75" w:type="dxa"/>
              <w:bottom w:w="75" w:type="dxa"/>
              <w:left w:w="90" w:type="dxa"/>
              <w:right w:w="90" w:type="dxa"/>
            </w:tcMar>
          </w:tcPr>
          <w:p>
            <w:pPr>
              <w:spacing w:after="0" w:line="245" w:lineRule="auto"/>
            </w:pPr>
            <w:r>
              <w:rPr>
                <w:sz w:val="20"/>
              </w:rPr>
              <w:t>The privacy model describes protected terms and settlement contents.</w:t>
            </w:r>
          </w:p>
        </w:tc>
        <w:tc>
          <w:tcPr>
            <w:tcW w:type="dxa" w:w="4032"/>
            <w:vAlign w:val="center"/>
            <w:shd w:fill="FFFFFF"/>
            <w:tcMar>
              <w:top w:w="75" w:type="dxa"/>
              <w:bottom w:w="75" w:type="dxa"/>
              <w:left w:w="90" w:type="dxa"/>
              <w:right w:w="90" w:type="dxa"/>
            </w:tcMar>
          </w:tcPr>
          <w:p>
            <w:pPr>
              <w:spacing w:after="0" w:line="245" w:lineRule="auto"/>
            </w:pPr>
            <w:r>
              <w:rPr>
                <w:sz w:val="20"/>
              </w:rPr>
              <w:t>Sell rate and amount confidentiality where relationship visibility is acceptable.</w:t>
            </w:r>
          </w:p>
        </w:tc>
      </w:tr>
      <w:tr>
        <w:trPr>
          <w:cantSplit/>
        </w:trPr>
        <w:tc>
          <w:tcPr>
            <w:tcW w:type="dxa" w:w="1800"/>
            <w:vAlign w:val="center"/>
            <w:shd w:fill="F3F3F3"/>
            <w:tcMar>
              <w:top w:w="75" w:type="dxa"/>
              <w:bottom w:w="75" w:type="dxa"/>
              <w:left w:w="90" w:type="dxa"/>
              <w:right w:w="90" w:type="dxa"/>
            </w:tcMar>
          </w:tcPr>
          <w:p>
            <w:pPr>
              <w:spacing w:after="0" w:line="245" w:lineRule="auto"/>
            </w:pPr>
            <w:r>
              <w:rPr>
                <w:sz w:val="20"/>
              </w:rPr>
              <w:t>Relationship privacy</w:t>
            </w:r>
          </w:p>
        </w:tc>
        <w:tc>
          <w:tcPr>
            <w:tcW w:type="dxa" w:w="4248"/>
            <w:vAlign w:val="center"/>
            <w:shd w:fill="F3F3F3"/>
            <w:tcMar>
              <w:top w:w="75" w:type="dxa"/>
              <w:bottom w:w="75" w:type="dxa"/>
              <w:left w:w="90" w:type="dxa"/>
              <w:right w:w="90" w:type="dxa"/>
            </w:tcMar>
          </w:tcPr>
          <w:p>
            <w:pPr>
              <w:spacing w:after="0" w:line="245" w:lineRule="auto"/>
            </w:pPr>
            <w:r>
              <w:rPr>
                <w:sz w:val="20"/>
              </w:rPr>
              <w:t>Channel opening exposes the counterparty. Timing and submitter remain visible.</w:t>
            </w:r>
          </w:p>
        </w:tc>
        <w:tc>
          <w:tcPr>
            <w:tcW w:type="dxa" w:w="4032"/>
            <w:vAlign w:val="center"/>
            <w:shd w:fill="F3F3F3"/>
            <w:tcMar>
              <w:top w:w="75" w:type="dxa"/>
              <w:bottom w:w="75" w:type="dxa"/>
              <w:left w:w="90" w:type="dxa"/>
              <w:right w:w="90" w:type="dxa"/>
            </w:tcMar>
          </w:tcPr>
          <w:p>
            <w:pPr>
              <w:spacing w:after="0" w:line="245" w:lineRule="auto"/>
            </w:pPr>
            <w:r>
              <w:rPr>
                <w:sz w:val="20"/>
              </w:rPr>
              <w:t>Reject prospects whose primary need is hiding supplier or trading relationships.</w:t>
            </w:r>
          </w:p>
        </w:tc>
      </w:tr>
      <w:tr>
        <w:trPr>
          <w:cantSplit/>
        </w:trPr>
        <w:tc>
          <w:tcPr>
            <w:tcW w:type="dxa" w:w="1800"/>
            <w:vAlign w:val="center"/>
            <w:shd w:fill="FFFFFF"/>
            <w:tcMar>
              <w:top w:w="75" w:type="dxa"/>
              <w:bottom w:w="75" w:type="dxa"/>
              <w:left w:w="90" w:type="dxa"/>
              <w:right w:w="90" w:type="dxa"/>
            </w:tcMar>
          </w:tcPr>
          <w:p>
            <w:pPr>
              <w:spacing w:after="0" w:line="245" w:lineRule="auto"/>
            </w:pPr>
            <w:r>
              <w:rPr>
                <w:sz w:val="20"/>
              </w:rPr>
              <w:t>Selective disclosure</w:t>
            </w:r>
          </w:p>
        </w:tc>
        <w:tc>
          <w:tcPr>
            <w:tcW w:type="dxa" w:w="4248"/>
            <w:vAlign w:val="center"/>
            <w:shd w:fill="FFFFFF"/>
            <w:tcMar>
              <w:top w:w="75" w:type="dxa"/>
              <w:bottom w:w="75" w:type="dxa"/>
              <w:left w:w="90" w:type="dxa"/>
              <w:right w:w="90" w:type="dxa"/>
            </w:tcMar>
          </w:tcPr>
          <w:p>
            <w:pPr>
              <w:spacing w:after="0" w:line="245" w:lineRule="auto"/>
            </w:pPr>
            <w:r>
              <w:rPr>
                <w:sz w:val="20"/>
              </w:rPr>
              <w:t>A v3 grant is scoped to a deal and recipient with expiry.</w:t>
            </w:r>
          </w:p>
        </w:tc>
        <w:tc>
          <w:tcPr>
            <w:tcW w:type="dxa" w:w="4032"/>
            <w:vAlign w:val="center"/>
            <w:shd w:fill="FFFFFF"/>
            <w:tcMar>
              <w:top w:w="75" w:type="dxa"/>
              <w:bottom w:w="75" w:type="dxa"/>
              <w:left w:w="90" w:type="dxa"/>
              <w:right w:w="90" w:type="dxa"/>
            </w:tcMar>
          </w:tcPr>
          <w:p>
            <w:pPr>
              <w:spacing w:after="0" w:line="245" w:lineRule="auto"/>
            </w:pPr>
            <w:r>
              <w:rPr>
                <w:sz w:val="20"/>
              </w:rPr>
              <w:t>Useful for operational review. Expiry cannot erase already-read information.</w:t>
            </w:r>
          </w:p>
        </w:tc>
      </w:tr>
      <w:tr>
        <w:trPr>
          <w:cantSplit/>
        </w:trPr>
        <w:tc>
          <w:tcPr>
            <w:tcW w:type="dxa" w:w="1800"/>
            <w:vAlign w:val="center"/>
            <w:shd w:fill="F3F3F3"/>
            <w:tcMar>
              <w:top w:w="75" w:type="dxa"/>
              <w:bottom w:w="75" w:type="dxa"/>
              <w:left w:w="90" w:type="dxa"/>
              <w:right w:w="90" w:type="dxa"/>
            </w:tcMar>
          </w:tcPr>
          <w:p>
            <w:pPr>
              <w:spacing w:after="0" w:line="245" w:lineRule="auto"/>
            </w:pPr>
            <w:r>
              <w:rPr>
                <w:sz w:val="20"/>
              </w:rPr>
              <w:t>Atomic action set</w:t>
            </w:r>
          </w:p>
        </w:tc>
        <w:tc>
          <w:tcPr>
            <w:tcW w:type="dxa" w:w="4248"/>
            <w:vAlign w:val="center"/>
            <w:shd w:fill="F3F3F3"/>
            <w:tcMar>
              <w:top w:w="75" w:type="dxa"/>
              <w:bottom w:w="75" w:type="dxa"/>
              <w:left w:w="90" w:type="dxa"/>
              <w:right w:w="90" w:type="dxa"/>
            </w:tcMar>
          </w:tcPr>
          <w:p>
            <w:pPr>
              <w:spacing w:after="0" w:line="245" w:lineRule="auto"/>
            </w:pPr>
            <w:r>
              <w:rPr>
                <w:sz w:val="20"/>
              </w:rPr>
              <w:t>Acceptance and shielded payment share one action set; semantic amount validation is client-side.</w:t>
            </w:r>
          </w:p>
        </w:tc>
        <w:tc>
          <w:tcPr>
            <w:tcW w:type="dxa" w:w="4032"/>
            <w:vAlign w:val="center"/>
            <w:shd w:fill="F3F3F3"/>
            <w:tcMar>
              <w:top w:w="75" w:type="dxa"/>
              <w:bottom w:w="75" w:type="dxa"/>
              <w:left w:w="90" w:type="dxa"/>
              <w:right w:w="90" w:type="dxa"/>
            </w:tcMar>
          </w:tcPr>
          <w:p>
            <w:pPr>
              <w:spacing w:after="0" w:line="245" w:lineRule="auto"/>
            </w:pPr>
            <w:r>
              <w:rPr>
                <w:sz w:val="20"/>
              </w:rPr>
              <w:t>Do not promise proof of service delivery, general escrow, or externally proven business meaning.</w:t>
            </w:r>
          </w:p>
        </w:tc>
      </w:tr>
      <w:tr>
        <w:trPr>
          <w:cantSplit/>
        </w:trPr>
        <w:tc>
          <w:tcPr>
            <w:tcW w:type="dxa" w:w="1800"/>
            <w:vAlign w:val="center"/>
            <w:shd w:fill="FFFFFF"/>
            <w:tcMar>
              <w:top w:w="75" w:type="dxa"/>
              <w:bottom w:w="75" w:type="dxa"/>
              <w:left w:w="90" w:type="dxa"/>
              <w:right w:w="90" w:type="dxa"/>
            </w:tcMar>
          </w:tcPr>
          <w:p>
            <w:pPr>
              <w:spacing w:after="0" w:line="245" w:lineRule="auto"/>
            </w:pPr>
            <w:r>
              <w:rPr>
                <w:sz w:val="20"/>
              </w:rPr>
              <w:t>Infrastructure trust</w:t>
            </w:r>
          </w:p>
        </w:tc>
        <w:tc>
          <w:tcPr>
            <w:tcW w:type="dxa" w:w="4248"/>
            <w:vAlign w:val="center"/>
            <w:shd w:fill="FFFFFF"/>
            <w:tcMar>
              <w:top w:w="75" w:type="dxa"/>
              <w:bottom w:w="75" w:type="dxa"/>
              <w:left w:w="90" w:type="dxa"/>
              <w:right w:w="90" w:type="dxa"/>
            </w:tcMar>
          </w:tcPr>
          <w:p>
            <w:pPr>
              <w:spacing w:after="0" w:line="245" w:lineRule="auto"/>
            </w:pPr>
            <w:r>
              <w:rPr>
                <w:sz w:val="20"/>
              </w:rPr>
              <w:t>The documented write prover and RPC receive the pool key.</w:t>
            </w:r>
          </w:p>
        </w:tc>
        <w:tc>
          <w:tcPr>
            <w:tcW w:type="dxa" w:w="4032"/>
            <w:vAlign w:val="center"/>
            <w:shd w:fill="FFFFFF"/>
            <w:tcMar>
              <w:top w:w="75" w:type="dxa"/>
              <w:bottom w:w="75" w:type="dxa"/>
              <w:left w:w="90" w:type="dxa"/>
              <w:right w:w="90" w:type="dxa"/>
            </w:tcMar>
          </w:tcPr>
          <w:p>
            <w:pPr>
              <w:spacing w:after="0" w:line="245" w:lineRule="auto"/>
            </w:pPr>
            <w:r>
              <w:rPr>
                <w:sz w:val="20"/>
              </w:rPr>
              <w:t>Customer deployment and trust boundaries must be explicit.</w:t>
            </w:r>
          </w:p>
        </w:tc>
      </w:tr>
      <w:tr>
        <w:trPr>
          <w:cantSplit/>
        </w:trPr>
        <w:tc>
          <w:tcPr>
            <w:tcW w:type="dxa" w:w="1800"/>
            <w:vAlign w:val="center"/>
            <w:shd w:fill="F3F3F3"/>
            <w:tcMar>
              <w:top w:w="75" w:type="dxa"/>
              <w:bottom w:w="75" w:type="dxa"/>
              <w:left w:w="90" w:type="dxa"/>
              <w:right w:w="90" w:type="dxa"/>
            </w:tcMar>
          </w:tcPr>
          <w:p>
            <w:pPr>
              <w:spacing w:after="0" w:line="245" w:lineRule="auto"/>
            </w:pPr>
            <w:r>
              <w:rPr>
                <w:sz w:val="20"/>
              </w:rPr>
              <w:t>Readiness</w:t>
            </w:r>
          </w:p>
        </w:tc>
        <w:tc>
          <w:tcPr>
            <w:tcW w:type="dxa" w:w="4248"/>
            <w:vAlign w:val="center"/>
            <w:shd w:fill="F3F3F3"/>
            <w:tcMar>
              <w:top w:w="75" w:type="dxa"/>
              <w:bottom w:w="75" w:type="dxa"/>
              <w:left w:w="90" w:type="dxa"/>
              <w:right w:w="90" w:type="dxa"/>
            </w:tcMar>
          </w:tcPr>
          <w:p>
            <w:pPr>
              <w:spacing w:after="0" w:line="245" w:lineRule="auto"/>
            </w:pPr>
            <w:r>
              <w:rPr>
                <w:sz w:val="20"/>
              </w:rPr>
              <w:t>Experimental, no external security review, bounded runs.</w:t>
            </w:r>
          </w:p>
        </w:tc>
        <w:tc>
          <w:tcPr>
            <w:tcW w:type="dxa" w:w="4032"/>
            <w:vAlign w:val="center"/>
            <w:shd w:fill="F3F3F3"/>
            <w:tcMar>
              <w:top w:w="75" w:type="dxa"/>
              <w:bottom w:w="75" w:type="dxa"/>
              <w:left w:w="90" w:type="dxa"/>
              <w:right w:w="90" w:type="dxa"/>
            </w:tcMar>
          </w:tcPr>
          <w:p>
            <w:pPr>
              <w:spacing w:after="0" w:line="245" w:lineRule="auto"/>
            </w:pPr>
            <w:r>
              <w:rPr>
                <w:sz w:val="20"/>
              </w:rPr>
              <w:t>Offer controlled evaluation before material-value operation.</w:t>
            </w:r>
          </w:p>
        </w:tc>
      </w:tr>
    </w:tbl>
    <w:p>
      <w:pPr>
        <w:spacing w:after="0"/>
      </w:pPr>
    </w:p>
    <w:p>
      <w:r>
        <w:t>These boundaries come from Erebus’s canonical privacy model and status. The disclosure record does not independently prove every business assertion or authenticate the named issuer with a grantor signature. An operator-facing “receipt” must explain what is verified and what is asserted.</w:t>
      </w:r>
      <w:r>
        <w:rPr>
          <w:vertAlign w:val="superscript"/>
        </w:rPr>
        <w:footnoteReference w:id="13"/>
      </w:r>
      <w:r/>
    </w:p>
    <w:p>
      <w:r>
        <w:t>The September 7 record documents Claude Code as payer and Codex as payee, with a 2.0 STRK settlement and 0.5 STRK change. That is a concrete demonstration, not an OpenAI or Anthropic partnership, customer deployment, or throughput benchmark.</w:t>
      </w:r>
      <w:r>
        <w:rPr>
          <w:vertAlign w:val="superscript"/>
        </w:rPr>
        <w:footnoteReference w:id="14"/>
      </w:r>
      <w:r/>
    </w:p>
    <w:p>
      <w:r>
        <w:t>Resolve visible documentation drift before a technical campaign: parts of the site and status still refer to two mainnet canaries although the latest record documents three complete runs. The website says v3 always creates seven settlement notes, while the privacy model describes a six-versus-seven distinction. Do not build claims on the disputed note-count detail until reconciled.</w:t>
      </w:r>
    </w:p>
    <w:p>
      <w:pPr>
        <w:pStyle w:val="Heading1"/>
        <w:pageBreakBefore/>
      </w:pPr>
      <w:r>
        <w:t>Commercial options and substitutes</w:t>
      </w:r>
    </w:p>
    <w:p>
      <w:r>
        <w:t>“Agent developers” describes a distribution audience, not a complete customer segment. A paying segment needs an identifiable budget owner, repeated work, an expensive failure or privacy problem, and a reason to accept Erebus’s constraints. The following assessment is a strategic judgment based on current capabilities.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4824"/>
        <w:gridCol w:w="2808"/>
      </w:tblGrid>
      <w:tr>
        <w:trPr>
          <w:cantSplit/>
          <w:tblHeader/>
        </w:trPr>
        <w:tc>
          <w:tcPr>
            <w:tcW w:type="dxa" w:w="2448"/>
            <w:vAlign w:val="center"/>
            <w:shd w:fill="333333"/>
            <w:tcMar>
              <w:top w:w="75" w:type="dxa"/>
              <w:bottom w:w="75" w:type="dxa"/>
              <w:left w:w="90" w:type="dxa"/>
              <w:right w:w="90" w:type="dxa"/>
            </w:tcMar>
          </w:tcPr>
          <w:p>
            <w:pPr>
              <w:spacing w:after="0" w:line="245" w:lineRule="auto"/>
            </w:pPr>
            <w:r>
              <w:rPr>
                <w:b/>
                <w:color w:val="FFFFFF"/>
                <w:sz w:val="20"/>
              </w:rPr>
              <w:t>Option</w:t>
            </w:r>
          </w:p>
        </w:tc>
        <w:tc>
          <w:tcPr>
            <w:tcW w:type="dxa" w:w="4824"/>
            <w:vAlign w:val="center"/>
            <w:shd w:fill="333333"/>
            <w:tcMar>
              <w:top w:w="75" w:type="dxa"/>
              <w:bottom w:w="75" w:type="dxa"/>
              <w:left w:w="90" w:type="dxa"/>
              <w:right w:w="90" w:type="dxa"/>
            </w:tcMar>
          </w:tcPr>
          <w:p>
            <w:pPr>
              <w:spacing w:after="0" w:line="245" w:lineRule="auto"/>
            </w:pPr>
            <w:r>
              <w:rPr>
                <w:b/>
                <w:color w:val="FFFFFF"/>
                <w:sz w:val="20"/>
              </w:rPr>
              <w:t>Potential buyer and value</w:t>
            </w:r>
          </w:p>
        </w:tc>
        <w:tc>
          <w:tcPr>
            <w:tcW w:type="dxa" w:w="2808"/>
            <w:vAlign w:val="center"/>
            <w:shd w:fill="333333"/>
            <w:tcMar>
              <w:top w:w="75" w:type="dxa"/>
              <w:bottom w:w="75" w:type="dxa"/>
              <w:left w:w="90" w:type="dxa"/>
              <w:right w:w="90" w:type="dxa"/>
            </w:tcMar>
          </w:tcPr>
          <w:p>
            <w:pPr>
              <w:spacing w:after="0" w:line="245" w:lineRule="auto"/>
            </w:pPr>
            <w:r>
              <w:rPr>
                <w:b/>
                <w:color w:val="FFFFFF"/>
                <w:sz w:val="20"/>
              </w:rPr>
              <w:t>Assessment</w:t>
            </w:r>
          </w:p>
        </w:tc>
      </w:tr>
      <w:tr>
        <w:trPr>
          <w:cantSplit/>
        </w:trPr>
        <w:tc>
          <w:tcPr>
            <w:tcW w:type="dxa" w:w="2448"/>
            <w:vAlign w:val="center"/>
            <w:shd w:fill="FFFFFF"/>
            <w:tcMar>
              <w:top w:w="75" w:type="dxa"/>
              <w:bottom w:w="75" w:type="dxa"/>
              <w:left w:w="90" w:type="dxa"/>
              <w:right w:w="90" w:type="dxa"/>
            </w:tcMar>
          </w:tcPr>
          <w:p>
            <w:pPr>
              <w:spacing w:after="0" w:line="245" w:lineRule="auto"/>
            </w:pPr>
            <w:r>
              <w:rPr>
                <w:sz w:val="20"/>
              </w:rPr>
              <w:t>Confidential settlement workspace</w:t>
            </w:r>
          </w:p>
        </w:tc>
        <w:tc>
          <w:tcPr>
            <w:tcW w:type="dxa" w:w="4824"/>
            <w:vAlign w:val="center"/>
            <w:shd w:fill="FFFFFF"/>
            <w:tcMar>
              <w:top w:w="75" w:type="dxa"/>
              <w:bottom w:w="75" w:type="dxa"/>
              <w:left w:w="90" w:type="dxa"/>
              <w:right w:w="90" w:type="dxa"/>
            </w:tcMar>
          </w:tcPr>
          <w:p>
            <w:pPr>
              <w:spacing w:after="0" w:line="245" w:lineRule="auto"/>
            </w:pPr>
            <w:r>
              <w:rPr>
                <w:sz w:val="20"/>
              </w:rPr>
              <w:t>Crypto-native operator with repeated supplier or agent-service payments; protects rates and reconciles deals.</w:t>
            </w:r>
          </w:p>
        </w:tc>
        <w:tc>
          <w:tcPr>
            <w:tcW w:type="dxa" w:w="2808"/>
            <w:vAlign w:val="center"/>
            <w:shd w:fill="FFFFFF"/>
            <w:tcMar>
              <w:top w:w="75" w:type="dxa"/>
              <w:bottom w:w="75" w:type="dxa"/>
              <w:left w:w="90" w:type="dxa"/>
              <w:right w:w="90" w:type="dxa"/>
            </w:tcMar>
          </w:tcPr>
          <w:p>
            <w:pPr>
              <w:spacing w:after="0" w:line="245" w:lineRule="auto"/>
            </w:pPr>
            <w:r>
              <w:rPr>
                <w:sz w:val="20"/>
              </w:rPr>
              <w:t>Best first product hypothesis. Narrow enough to test, but willingness to pay is unproven.</w:t>
            </w:r>
          </w:p>
        </w:tc>
      </w:tr>
      <w:tr>
        <w:trPr>
          <w:cantSplit/>
        </w:trPr>
        <w:tc>
          <w:tcPr>
            <w:tcW w:type="dxa" w:w="2448"/>
            <w:vAlign w:val="center"/>
            <w:shd w:fill="F3F3F3"/>
            <w:tcMar>
              <w:top w:w="75" w:type="dxa"/>
              <w:bottom w:w="75" w:type="dxa"/>
              <w:left w:w="90" w:type="dxa"/>
              <w:right w:w="90" w:type="dxa"/>
            </w:tcMar>
          </w:tcPr>
          <w:p>
            <w:pPr>
              <w:spacing w:after="0" w:line="245" w:lineRule="auto"/>
            </w:pPr>
            <w:r>
              <w:rPr>
                <w:sz w:val="20"/>
              </w:rPr>
              <w:t>Developer integration service</w:t>
            </w:r>
          </w:p>
        </w:tc>
        <w:tc>
          <w:tcPr>
            <w:tcW w:type="dxa" w:w="4824"/>
            <w:vAlign w:val="center"/>
            <w:shd w:fill="F3F3F3"/>
            <w:tcMar>
              <w:top w:w="75" w:type="dxa"/>
              <w:bottom w:w="75" w:type="dxa"/>
              <w:left w:w="90" w:type="dxa"/>
              <w:right w:w="90" w:type="dxa"/>
            </w:tcMar>
          </w:tcPr>
          <w:p>
            <w:pPr>
              <w:spacing w:after="0" w:line="245" w:lineRule="auto"/>
            </w:pPr>
            <w:r>
              <w:rPr>
                <w:sz w:val="20"/>
              </w:rPr>
              <w:t>Agent platform or Starknet team needing a private settlement integration.</w:t>
            </w:r>
          </w:p>
        </w:tc>
        <w:tc>
          <w:tcPr>
            <w:tcW w:type="dxa" w:w="2808"/>
            <w:vAlign w:val="center"/>
            <w:shd w:fill="F3F3F3"/>
            <w:tcMar>
              <w:top w:w="75" w:type="dxa"/>
              <w:bottom w:w="75" w:type="dxa"/>
              <w:left w:w="90" w:type="dxa"/>
              <w:right w:w="90" w:type="dxa"/>
            </w:tcMar>
          </w:tcPr>
          <w:p>
            <w:pPr>
              <w:spacing w:after="0" w:line="245" w:lineRule="auto"/>
            </w:pPr>
            <w:r>
              <w:rPr>
                <w:sz w:val="20"/>
              </w:rPr>
              <w:t>Most credible near-term revenue. Service revenue is not recurring product demand.</w:t>
            </w:r>
          </w:p>
        </w:tc>
      </w:tr>
      <w:tr>
        <w:trPr>
          <w:cantSplit/>
        </w:trPr>
        <w:tc>
          <w:tcPr>
            <w:tcW w:type="dxa" w:w="2448"/>
            <w:vAlign w:val="center"/>
            <w:shd w:fill="FFFFFF"/>
            <w:tcMar>
              <w:top w:w="75" w:type="dxa"/>
              <w:bottom w:w="75" w:type="dxa"/>
              <w:left w:w="90" w:type="dxa"/>
              <w:right w:w="90" w:type="dxa"/>
            </w:tcMar>
          </w:tcPr>
          <w:p>
            <w:pPr>
              <w:spacing w:after="0" w:line="245" w:lineRule="auto"/>
            </w:pPr>
            <w:r>
              <w:rPr>
                <w:sz w:val="20"/>
              </w:rPr>
              <w:t>Private agent API micropayments</w:t>
            </w:r>
          </w:p>
        </w:tc>
        <w:tc>
          <w:tcPr>
            <w:tcW w:type="dxa" w:w="4824"/>
            <w:vAlign w:val="center"/>
            <w:shd w:fill="FFFFFF"/>
            <w:tcMar>
              <w:top w:w="75" w:type="dxa"/>
              <w:bottom w:w="75" w:type="dxa"/>
              <w:left w:w="90" w:type="dxa"/>
              <w:right w:w="90" w:type="dxa"/>
            </w:tcMar>
          </w:tcPr>
          <w:p>
            <w:pPr>
              <w:spacing w:after="0" w:line="245" w:lineRule="auto"/>
            </w:pPr>
            <w:r>
              <w:rPr>
                <w:sz w:val="20"/>
              </w:rPr>
              <w:t>API seller charging per tiny request.</w:t>
            </w:r>
          </w:p>
        </w:tc>
        <w:tc>
          <w:tcPr>
            <w:tcW w:type="dxa" w:w="2808"/>
            <w:vAlign w:val="center"/>
            <w:shd w:fill="FFFFFF"/>
            <w:tcMar>
              <w:top w:w="75" w:type="dxa"/>
              <w:bottom w:w="75" w:type="dxa"/>
              <w:left w:w="90" w:type="dxa"/>
              <w:right w:w="90" w:type="dxa"/>
            </w:tcMar>
          </w:tcPr>
          <w:p>
            <w:pPr>
              <w:spacing w:after="0" w:line="245" w:lineRule="auto"/>
            </w:pPr>
            <w:r>
              <w:rPr>
                <w:sz w:val="20"/>
              </w:rPr>
              <w:t>Poor first fit given multi-action costs and latency. Existing x402 options are strong.</w:t>
            </w:r>
          </w:p>
        </w:tc>
      </w:tr>
      <w:tr>
        <w:trPr>
          <w:cantSplit/>
        </w:trPr>
        <w:tc>
          <w:tcPr>
            <w:tcW w:type="dxa" w:w="2448"/>
            <w:vAlign w:val="center"/>
            <w:shd w:fill="F3F3F3"/>
            <w:tcMar>
              <w:top w:w="75" w:type="dxa"/>
              <w:bottom w:w="75" w:type="dxa"/>
              <w:left w:w="90" w:type="dxa"/>
              <w:right w:w="90" w:type="dxa"/>
            </w:tcMar>
          </w:tcPr>
          <w:p>
            <w:pPr>
              <w:spacing w:after="0" w:line="245" w:lineRule="auto"/>
            </w:pPr>
            <w:r>
              <w:rPr>
                <w:sz w:val="20"/>
              </w:rPr>
              <w:t>Private OTC marketplace</w:t>
            </w:r>
          </w:p>
        </w:tc>
        <w:tc>
          <w:tcPr>
            <w:tcW w:type="dxa" w:w="4824"/>
            <w:vAlign w:val="center"/>
            <w:shd w:fill="F3F3F3"/>
            <w:tcMar>
              <w:top w:w="75" w:type="dxa"/>
              <w:bottom w:w="75" w:type="dxa"/>
              <w:left w:w="90" w:type="dxa"/>
              <w:right w:w="90" w:type="dxa"/>
            </w:tcMar>
          </w:tcPr>
          <w:p>
            <w:pPr>
              <w:spacing w:after="0" w:line="245" w:lineRule="auto"/>
            </w:pPr>
            <w:r>
              <w:rPr>
                <w:sz w:val="20"/>
              </w:rPr>
              <w:t>Traders needing two-asset exchange, matching, and counterparty protection.</w:t>
            </w:r>
          </w:p>
        </w:tc>
        <w:tc>
          <w:tcPr>
            <w:tcW w:type="dxa" w:w="2808"/>
            <w:vAlign w:val="center"/>
            <w:shd w:fill="F3F3F3"/>
            <w:tcMar>
              <w:top w:w="75" w:type="dxa"/>
              <w:bottom w:w="75" w:type="dxa"/>
              <w:left w:w="90" w:type="dxa"/>
              <w:right w:w="90" w:type="dxa"/>
            </w:tcMar>
          </w:tcPr>
          <w:p>
            <w:pPr>
              <w:spacing w:after="0" w:line="245" w:lineRule="auto"/>
            </w:pPr>
            <w:r>
              <w:rPr>
                <w:sz w:val="20"/>
              </w:rPr>
              <w:t>Too much missing. Current acceptance plus payment is not a general delivery-versus-payment exchange.</w:t>
            </w:r>
          </w:p>
        </w:tc>
      </w:tr>
      <w:tr>
        <w:trPr>
          <w:cantSplit/>
        </w:trPr>
        <w:tc>
          <w:tcPr>
            <w:tcW w:type="dxa" w:w="2448"/>
            <w:vAlign w:val="center"/>
            <w:shd w:fill="FFFFFF"/>
            <w:tcMar>
              <w:top w:w="75" w:type="dxa"/>
              <w:bottom w:w="75" w:type="dxa"/>
              <w:left w:w="90" w:type="dxa"/>
              <w:right w:w="90" w:type="dxa"/>
            </w:tcMar>
          </w:tcPr>
          <w:p>
            <w:pPr>
              <w:spacing w:after="0" w:line="245" w:lineRule="auto"/>
            </w:pPr>
            <w:r>
              <w:rPr>
                <w:sz w:val="20"/>
              </w:rPr>
              <w:t>Generic agent wallet</w:t>
            </w:r>
          </w:p>
        </w:tc>
        <w:tc>
          <w:tcPr>
            <w:tcW w:type="dxa" w:w="4824"/>
            <w:vAlign w:val="center"/>
            <w:shd w:fill="FFFFFF"/>
            <w:tcMar>
              <w:top w:w="75" w:type="dxa"/>
              <w:bottom w:w="75" w:type="dxa"/>
              <w:left w:w="90" w:type="dxa"/>
              <w:right w:w="90" w:type="dxa"/>
            </w:tcMar>
          </w:tcPr>
          <w:p>
            <w:pPr>
              <w:spacing w:after="0" w:line="245" w:lineRule="auto"/>
            </w:pPr>
            <w:r>
              <w:rPr>
                <w:sz w:val="20"/>
              </w:rPr>
              <w:t>Any team needing budgets, key management, and payments.</w:t>
            </w:r>
          </w:p>
        </w:tc>
        <w:tc>
          <w:tcPr>
            <w:tcW w:type="dxa" w:w="2808"/>
            <w:vAlign w:val="center"/>
            <w:shd w:fill="FFFFFF"/>
            <w:tcMar>
              <w:top w:w="75" w:type="dxa"/>
              <w:bottom w:w="75" w:type="dxa"/>
              <w:left w:w="90" w:type="dxa"/>
              <w:right w:w="90" w:type="dxa"/>
            </w:tcMar>
          </w:tcPr>
          <w:p>
            <w:pPr>
              <w:spacing w:after="0" w:line="245" w:lineRule="auto"/>
            </w:pPr>
            <w:r>
              <w:rPr>
                <w:sz w:val="20"/>
              </w:rPr>
              <w:t>Crowded and insufficiently differentiated.</w:t>
            </w:r>
          </w:p>
        </w:tc>
      </w:tr>
      <w:tr>
        <w:trPr>
          <w:cantSplit/>
        </w:trPr>
        <w:tc>
          <w:tcPr>
            <w:tcW w:type="dxa" w:w="2448"/>
            <w:vAlign w:val="center"/>
            <w:shd w:fill="F3F3F3"/>
            <w:tcMar>
              <w:top w:w="75" w:type="dxa"/>
              <w:bottom w:w="75" w:type="dxa"/>
              <w:left w:w="90" w:type="dxa"/>
              <w:right w:w="90" w:type="dxa"/>
            </w:tcMar>
          </w:tcPr>
          <w:p>
            <w:pPr>
              <w:spacing w:after="0" w:line="245" w:lineRule="auto"/>
            </w:pPr>
            <w:r>
              <w:rPr>
                <w:sz w:val="20"/>
              </w:rPr>
              <w:t>Enterprise privacy infrastructure</w:t>
            </w:r>
          </w:p>
        </w:tc>
        <w:tc>
          <w:tcPr>
            <w:tcW w:type="dxa" w:w="4824"/>
            <w:vAlign w:val="center"/>
            <w:shd w:fill="F3F3F3"/>
            <w:tcMar>
              <w:top w:w="75" w:type="dxa"/>
              <w:bottom w:w="75" w:type="dxa"/>
              <w:left w:w="90" w:type="dxa"/>
              <w:right w:w="90" w:type="dxa"/>
            </w:tcMar>
          </w:tcPr>
          <w:p>
            <w:pPr>
              <w:spacing w:after="0" w:line="245" w:lineRule="auto"/>
            </w:pPr>
            <w:r>
              <w:rPr>
                <w:sz w:val="20"/>
              </w:rPr>
              <w:t>Large firms needing deployment, controls, and assurance.</w:t>
            </w:r>
          </w:p>
        </w:tc>
        <w:tc>
          <w:tcPr>
            <w:tcW w:type="dxa" w:w="2808"/>
            <w:vAlign w:val="center"/>
            <w:shd w:fill="F3F3F3"/>
            <w:tcMar>
              <w:top w:w="75" w:type="dxa"/>
              <w:bottom w:w="75" w:type="dxa"/>
              <w:left w:w="90" w:type="dxa"/>
              <w:right w:w="90" w:type="dxa"/>
            </w:tcMar>
          </w:tcPr>
          <w:p>
            <w:pPr>
              <w:spacing w:after="0" w:line="245" w:lineRule="auto"/>
            </w:pPr>
            <w:r>
              <w:rPr>
                <w:sz w:val="20"/>
              </w:rPr>
              <w:t>Potential later, with much heavier security, procurement, and integration requirements.</w:t>
            </w:r>
          </w:p>
        </w:tc>
      </w:tr>
    </w:tbl>
    <w:p>
      <w:pPr>
        <w:spacing w:after="0"/>
      </w:pPr>
    </w:p>
    <w:p>
      <w:pPr>
        <w:pStyle w:val="Heading2"/>
      </w:pPr>
      <w:r>
        <w:t>The alternatives a buyer can already choose</w:t>
      </w:r>
    </w:p>
    <w:p>
      <w:r>
        <w:t>Coinbase’s x402 implementation offers HTTP payments with low per-settlement pricing, existing wallet paths, and an offer-receipt extension. Request Finance provides invoice, approval, reconciliation, and payment workflows. Turnkey provides transaction policies. STRK20-supported wallets already offer private transfers. These capabilities mean “agents can pay,” “has an audit log,” and “private transfer” are weak standalone differentiators.</w:t>
      </w:r>
      <w:r>
        <w:rPr>
          <w:vertAlign w:val="superscript"/>
        </w:rPr>
        <w:footnoteReference w:id="15"/>
      </w:r>
      <w:r/>
    </w:p>
    <w:p>
      <w:r>
        <w:t>The most serious alternative is ordinary private communication plus a wallet or finance tool. Private chat already protects negotiated text. Erebus must demonstrate that joining confidential settlement, deal history, recovery, and scoped disclosure saves enough work or prevents a costly exposure to justify switching.</w:t>
      </w:r>
    </w:p>
    <w:p>
      <w:r>
        <w:t>Privy’s ATXP case study illustrates product packaging around budgets, accounts, permissions, and purchasing workflows. Its reported account count is not proof of paying privacy customers. Borrow the workflow focus, not the market-size inference.</w:t>
      </w:r>
      <w:r>
        <w:rPr>
          <w:vertAlign w:val="superscript"/>
        </w:rPr>
        <w:footnoteReference w:id="16"/>
      </w:r>
      <w:r/>
    </w:p>
    <w:p>
      <w:pPr>
        <w:pStyle w:val="Heading1"/>
        <w:pageBreakBefore/>
      </w:pPr>
      <w:r>
        <w:t>A potential product called Erebus Settlements</w:t>
      </w:r>
    </w:p>
    <w:p>
      <w:r>
        <w:t xml:space="preserve">The proposed product is a </w:t>
      </w:r>
      <w:r>
        <w:rPr>
          <w:b/>
        </w:rPr>
        <w:t>confidential deal and settlement workspace</w:t>
      </w:r>
      <w:r>
        <w:t xml:space="preserve"> for teams already paying known counterparties in crypto. Start with operators of agent services and crypto-native technical teams. A founder, engineering lead, or finance operator buys it; developers connect it; agents can propose or execute within controls. The product should remain useful when a human operates a deal.</w:t>
      </w:r>
    </w:p>
    <w:p>
      <w:r>
        <w:t>The first qualification hypothesis is a team making at least ten repeat supplier or service payments a month, with negotiated rates or payment amounts that should not be public. Require a concrete confidentiality incident, contract concern, reconciliation burden, or blocked workflow. A team merely saying that privacy is important does not qualify.</w:t>
      </w:r>
    </w:p>
    <w:p>
      <w:pPr>
        <w:pStyle w:val="Heading2"/>
      </w:pPr>
      <w:r>
        <w:t>The complete proposed customer workflow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4896"/>
        <w:gridCol w:w="4104"/>
      </w:tblGrid>
      <w:tr>
        <w:trPr>
          <w:cantSplit/>
          <w:tblHeader/>
        </w:trPr>
        <w:tc>
          <w:tcPr>
            <w:tcW w:type="dxa" w:w="1080"/>
            <w:vAlign w:val="center"/>
            <w:shd w:fill="333333"/>
            <w:tcMar>
              <w:top w:w="75" w:type="dxa"/>
              <w:bottom w:w="75" w:type="dxa"/>
              <w:left w:w="90" w:type="dxa"/>
              <w:right w:w="90" w:type="dxa"/>
            </w:tcMar>
          </w:tcPr>
          <w:p>
            <w:pPr>
              <w:spacing w:after="0" w:line="245" w:lineRule="auto"/>
            </w:pPr>
            <w:r>
              <w:rPr>
                <w:b/>
                <w:color w:val="FFFFFF"/>
                <w:sz w:val="20"/>
              </w:rPr>
              <w:t>Step</w:t>
            </w:r>
          </w:p>
        </w:tc>
        <w:tc>
          <w:tcPr>
            <w:tcW w:type="dxa" w:w="4896"/>
            <w:vAlign w:val="center"/>
            <w:shd w:fill="333333"/>
            <w:tcMar>
              <w:top w:w="75" w:type="dxa"/>
              <w:bottom w:w="75" w:type="dxa"/>
              <w:left w:w="90" w:type="dxa"/>
              <w:right w:w="90" w:type="dxa"/>
            </w:tcMar>
          </w:tcPr>
          <w:p>
            <w:pPr>
              <w:spacing w:after="0" w:line="245" w:lineRule="auto"/>
            </w:pPr>
            <w:r>
              <w:rPr>
                <w:b/>
                <w:color w:val="FFFFFF"/>
                <w:sz w:val="20"/>
              </w:rPr>
              <w:t>User experience</w:t>
            </w:r>
          </w:p>
        </w:tc>
        <w:tc>
          <w:tcPr>
            <w:tcW w:type="dxa" w:w="4104"/>
            <w:vAlign w:val="center"/>
            <w:shd w:fill="333333"/>
            <w:tcMar>
              <w:top w:w="75" w:type="dxa"/>
              <w:bottom w:w="75" w:type="dxa"/>
              <w:left w:w="90" w:type="dxa"/>
              <w:right w:w="90" w:type="dxa"/>
            </w:tcMar>
          </w:tcPr>
          <w:p>
            <w:pPr>
              <w:spacing w:after="0" w:line="245" w:lineRule="auto"/>
            </w:pPr>
            <w:r>
              <w:rPr>
                <w:b/>
                <w:color w:val="FFFFFF"/>
                <w:sz w:val="20"/>
              </w:rPr>
              <w:t>What must exist</w:t>
            </w:r>
          </w:p>
        </w:tc>
      </w:tr>
      <w:tr>
        <w:trPr>
          <w:cantSplit/>
        </w:trPr>
        <w:tc>
          <w:tcPr>
            <w:tcW w:type="dxa" w:w="1080"/>
            <w:vAlign w:val="center"/>
            <w:shd w:fill="FFFFFF"/>
            <w:tcMar>
              <w:top w:w="75" w:type="dxa"/>
              <w:bottom w:w="75" w:type="dxa"/>
              <w:left w:w="90" w:type="dxa"/>
              <w:right w:w="90" w:type="dxa"/>
            </w:tcMar>
          </w:tcPr>
          <w:p>
            <w:pPr>
              <w:spacing w:after="0" w:line="245" w:lineRule="auto"/>
            </w:pPr>
            <w:r>
              <w:rPr>
                <w:sz w:val="20"/>
              </w:rPr>
              <w:t>Create</w:t>
            </w:r>
          </w:p>
        </w:tc>
        <w:tc>
          <w:tcPr>
            <w:tcW w:type="dxa" w:w="4896"/>
            <w:vAlign w:val="center"/>
            <w:shd w:fill="FFFFFF"/>
            <w:tcMar>
              <w:top w:w="75" w:type="dxa"/>
              <w:bottom w:w="75" w:type="dxa"/>
              <w:left w:w="90" w:type="dxa"/>
              <w:right w:w="90" w:type="dxa"/>
            </w:tcMar>
          </w:tcPr>
          <w:p>
            <w:pPr>
              <w:spacing w:after="0" w:line="245" w:lineRule="auto"/>
            </w:pPr>
            <w:r>
              <w:rPr>
                <w:sz w:val="20"/>
              </w:rPr>
              <w:t>Operator or agent creates a structured payment request linked to agreed terms.</w:t>
            </w:r>
          </w:p>
        </w:tc>
        <w:tc>
          <w:tcPr>
            <w:tcW w:type="dxa" w:w="4104"/>
            <w:vAlign w:val="center"/>
            <w:shd w:fill="FFFFFF"/>
            <w:tcMar>
              <w:top w:w="75" w:type="dxa"/>
              <w:bottom w:w="75" w:type="dxa"/>
              <w:left w:w="90" w:type="dxa"/>
              <w:right w:w="90" w:type="dxa"/>
            </w:tcMar>
          </w:tcPr>
          <w:p>
            <w:pPr>
              <w:spacing w:after="0" w:line="245" w:lineRule="auto"/>
            </w:pPr>
            <w:r>
              <w:rPr>
                <w:sz w:val="20"/>
              </w:rPr>
              <w:t>Authenticated counterparties and a versioned deal record.</w:t>
            </w:r>
          </w:p>
        </w:tc>
      </w:tr>
      <w:tr>
        <w:trPr>
          <w:cantSplit/>
        </w:trPr>
        <w:tc>
          <w:tcPr>
            <w:tcW w:type="dxa" w:w="1080"/>
            <w:vAlign w:val="center"/>
            <w:shd w:fill="F3F3F3"/>
            <w:tcMar>
              <w:top w:w="75" w:type="dxa"/>
              <w:bottom w:w="75" w:type="dxa"/>
              <w:left w:w="90" w:type="dxa"/>
              <w:right w:w="90" w:type="dxa"/>
            </w:tcMar>
          </w:tcPr>
          <w:p>
            <w:pPr>
              <w:spacing w:after="0" w:line="245" w:lineRule="auto"/>
            </w:pPr>
            <w:r>
              <w:rPr>
                <w:sz w:val="20"/>
              </w:rPr>
              <w:t>Review</w:t>
            </w:r>
          </w:p>
        </w:tc>
        <w:tc>
          <w:tcPr>
            <w:tcW w:type="dxa" w:w="4896"/>
            <w:vAlign w:val="center"/>
            <w:shd w:fill="F3F3F3"/>
            <w:tcMar>
              <w:top w:w="75" w:type="dxa"/>
              <w:bottom w:w="75" w:type="dxa"/>
              <w:left w:w="90" w:type="dxa"/>
              <w:right w:w="90" w:type="dxa"/>
            </w:tcMar>
          </w:tcPr>
          <w:p>
            <w:pPr>
              <w:spacing w:after="0" w:line="245" w:lineRule="auto"/>
            </w:pPr>
            <w:r>
              <w:rPr>
                <w:sz w:val="20"/>
              </w:rPr>
              <w:t>Buyer sees price, payee, network, fees, privacy boundary, and approval requirement.</w:t>
            </w:r>
          </w:p>
        </w:tc>
        <w:tc>
          <w:tcPr>
            <w:tcW w:type="dxa" w:w="4104"/>
            <w:vAlign w:val="center"/>
            <w:shd w:fill="F3F3F3"/>
            <w:tcMar>
              <w:top w:w="75" w:type="dxa"/>
              <w:bottom w:w="75" w:type="dxa"/>
              <w:left w:w="90" w:type="dxa"/>
              <w:right w:w="90" w:type="dxa"/>
            </w:tcMar>
          </w:tcPr>
          <w:p>
            <w:pPr>
              <w:spacing w:after="0" w:line="245" w:lineRule="auto"/>
            </w:pPr>
            <w:r>
              <w:rPr>
                <w:sz w:val="20"/>
              </w:rPr>
              <w:t>Deterministic policy and human approval outside model discretion.</w:t>
            </w:r>
          </w:p>
        </w:tc>
      </w:tr>
      <w:tr>
        <w:trPr>
          <w:cantSplit/>
        </w:trPr>
        <w:tc>
          <w:tcPr>
            <w:tcW w:type="dxa" w:w="1080"/>
            <w:vAlign w:val="center"/>
            <w:shd w:fill="FFFFFF"/>
            <w:tcMar>
              <w:top w:w="75" w:type="dxa"/>
              <w:bottom w:w="75" w:type="dxa"/>
              <w:left w:w="90" w:type="dxa"/>
              <w:right w:w="90" w:type="dxa"/>
            </w:tcMar>
          </w:tcPr>
          <w:p>
            <w:pPr>
              <w:spacing w:after="0" w:line="245" w:lineRule="auto"/>
            </w:pPr>
            <w:r>
              <w:rPr>
                <w:sz w:val="20"/>
              </w:rPr>
              <w:t>Settle</w:t>
            </w:r>
          </w:p>
        </w:tc>
        <w:tc>
          <w:tcPr>
            <w:tcW w:type="dxa" w:w="4896"/>
            <w:vAlign w:val="center"/>
            <w:shd w:fill="FFFFFF"/>
            <w:tcMar>
              <w:top w:w="75" w:type="dxa"/>
              <w:bottom w:w="75" w:type="dxa"/>
              <w:left w:w="90" w:type="dxa"/>
              <w:right w:w="90" w:type="dxa"/>
            </w:tcMar>
          </w:tcPr>
          <w:p>
            <w:pPr>
              <w:spacing w:after="0" w:line="245" w:lineRule="auto"/>
            </w:pPr>
            <w:r>
              <w:rPr>
                <w:sz w:val="20"/>
              </w:rPr>
              <w:t>Buyer authorizes confidential settlement; the app shows proving, submitted, uncertain, or settled states.</w:t>
            </w:r>
          </w:p>
        </w:tc>
        <w:tc>
          <w:tcPr>
            <w:tcW w:type="dxa" w:w="4104"/>
            <w:vAlign w:val="center"/>
            <w:shd w:fill="FFFFFF"/>
            <w:tcMar>
              <w:top w:w="75" w:type="dxa"/>
              <w:bottom w:w="75" w:type="dxa"/>
              <w:left w:w="90" w:type="dxa"/>
              <w:right w:w="90" w:type="dxa"/>
            </w:tcMar>
          </w:tcPr>
          <w:p>
            <w:pPr>
              <w:spacing w:after="0" w:line="245" w:lineRule="auto"/>
            </w:pPr>
            <w:r>
              <w:rPr>
                <w:sz w:val="20"/>
              </w:rPr>
              <w:t>Current settlement primitives plus reliable orchestration.</w:t>
            </w:r>
          </w:p>
        </w:tc>
      </w:tr>
      <w:tr>
        <w:trPr>
          <w:cantSplit/>
        </w:trPr>
        <w:tc>
          <w:tcPr>
            <w:tcW w:type="dxa" w:w="1080"/>
            <w:vAlign w:val="center"/>
            <w:shd w:fill="F3F3F3"/>
            <w:tcMar>
              <w:top w:w="75" w:type="dxa"/>
              <w:bottom w:w="75" w:type="dxa"/>
              <w:left w:w="90" w:type="dxa"/>
              <w:right w:w="90" w:type="dxa"/>
            </w:tcMar>
          </w:tcPr>
          <w:p>
            <w:pPr>
              <w:spacing w:after="0" w:line="245" w:lineRule="auto"/>
            </w:pPr>
            <w:r>
              <w:rPr>
                <w:sz w:val="20"/>
              </w:rPr>
              <w:t>Reconcile</w:t>
            </w:r>
          </w:p>
        </w:tc>
        <w:tc>
          <w:tcPr>
            <w:tcW w:type="dxa" w:w="4896"/>
            <w:vAlign w:val="center"/>
            <w:shd w:fill="F3F3F3"/>
            <w:tcMar>
              <w:top w:w="75" w:type="dxa"/>
              <w:bottom w:w="75" w:type="dxa"/>
              <w:left w:w="90" w:type="dxa"/>
              <w:right w:w="90" w:type="dxa"/>
            </w:tcMar>
          </w:tcPr>
          <w:p>
            <w:pPr>
              <w:spacing w:after="0" w:line="245" w:lineRule="auto"/>
            </w:pPr>
            <w:r>
              <w:rPr>
                <w:sz w:val="20"/>
              </w:rPr>
              <w:t>Operator matches an accepted deal to payment and resolves uncertain outcomes.</w:t>
            </w:r>
          </w:p>
        </w:tc>
        <w:tc>
          <w:tcPr>
            <w:tcW w:type="dxa" w:w="4104"/>
            <w:vAlign w:val="center"/>
            <w:shd w:fill="F3F3F3"/>
            <w:tcMar>
              <w:top w:w="75" w:type="dxa"/>
              <w:bottom w:w="75" w:type="dxa"/>
              <w:left w:w="90" w:type="dxa"/>
              <w:right w:w="90" w:type="dxa"/>
            </w:tcMar>
          </w:tcPr>
          <w:p>
            <w:pPr>
              <w:spacing w:after="0" w:line="245" w:lineRule="auto"/>
            </w:pPr>
            <w:r>
              <w:rPr>
                <w:sz w:val="20"/>
              </w:rPr>
              <w:t>Operation-ID recovery and exportable operational records.</w:t>
            </w:r>
          </w:p>
        </w:tc>
      </w:tr>
      <w:tr>
        <w:trPr>
          <w:cantSplit/>
        </w:trPr>
        <w:tc>
          <w:tcPr>
            <w:tcW w:type="dxa" w:w="1080"/>
            <w:vAlign w:val="center"/>
            <w:shd w:fill="FFFFFF"/>
            <w:tcMar>
              <w:top w:w="75" w:type="dxa"/>
              <w:bottom w:w="75" w:type="dxa"/>
              <w:left w:w="90" w:type="dxa"/>
              <w:right w:w="90" w:type="dxa"/>
            </w:tcMar>
          </w:tcPr>
          <w:p>
            <w:pPr>
              <w:spacing w:after="0" w:line="245" w:lineRule="auto"/>
            </w:pPr>
            <w:r>
              <w:rPr>
                <w:sz w:val="20"/>
              </w:rPr>
              <w:t>Disclose</w:t>
            </w:r>
          </w:p>
        </w:tc>
        <w:tc>
          <w:tcPr>
            <w:tcW w:type="dxa" w:w="4896"/>
            <w:vAlign w:val="center"/>
            <w:shd w:fill="FFFFFF"/>
            <w:tcMar>
              <w:top w:w="75" w:type="dxa"/>
              <w:bottom w:w="75" w:type="dxa"/>
              <w:left w:w="90" w:type="dxa"/>
              <w:right w:w="90" w:type="dxa"/>
            </w:tcMar>
          </w:tcPr>
          <w:p>
            <w:pPr>
              <w:spacing w:after="0" w:line="245" w:lineRule="auto"/>
            </w:pPr>
            <w:r>
              <w:rPr>
                <w:sz w:val="20"/>
              </w:rPr>
              <w:t>Operator gives a specified recipient access to one deal.</w:t>
            </w:r>
          </w:p>
        </w:tc>
        <w:tc>
          <w:tcPr>
            <w:tcW w:type="dxa" w:w="4104"/>
            <w:vAlign w:val="center"/>
            <w:shd w:fill="FFFFFF"/>
            <w:tcMar>
              <w:top w:w="75" w:type="dxa"/>
              <w:bottom w:w="75" w:type="dxa"/>
              <w:left w:w="90" w:type="dxa"/>
              <w:right w:w="90" w:type="dxa"/>
            </w:tcMar>
          </w:tcPr>
          <w:p>
            <w:pPr>
              <w:spacing w:after="0" w:line="245" w:lineRule="auto"/>
            </w:pPr>
            <w:r>
              <w:rPr>
                <w:sz w:val="20"/>
              </w:rPr>
              <w:t>Recipient-bound grant, secure delivery, and clear limits.</w:t>
            </w:r>
          </w:p>
        </w:tc>
      </w:tr>
      <w:tr>
        <w:trPr>
          <w:cantSplit/>
        </w:trPr>
        <w:tc>
          <w:tcPr>
            <w:tcW w:type="dxa" w:w="1080"/>
            <w:vAlign w:val="center"/>
            <w:shd w:fill="F3F3F3"/>
            <w:tcMar>
              <w:top w:w="75" w:type="dxa"/>
              <w:bottom w:w="75" w:type="dxa"/>
              <w:left w:w="90" w:type="dxa"/>
              <w:right w:w="90" w:type="dxa"/>
            </w:tcMar>
          </w:tcPr>
          <w:p>
            <w:pPr>
              <w:spacing w:after="0" w:line="245" w:lineRule="auto"/>
            </w:pPr>
            <w:r>
              <w:rPr>
                <w:sz w:val="20"/>
              </w:rPr>
              <w:t>Repeat</w:t>
            </w:r>
          </w:p>
        </w:tc>
        <w:tc>
          <w:tcPr>
            <w:tcW w:type="dxa" w:w="4896"/>
            <w:vAlign w:val="center"/>
            <w:shd w:fill="F3F3F3"/>
            <w:tcMar>
              <w:top w:w="75" w:type="dxa"/>
              <w:bottom w:w="75" w:type="dxa"/>
              <w:left w:w="90" w:type="dxa"/>
              <w:right w:w="90" w:type="dxa"/>
            </w:tcMar>
          </w:tcPr>
          <w:p>
            <w:pPr>
              <w:spacing w:after="0" w:line="245" w:lineRule="auto"/>
            </w:pPr>
            <w:r>
              <w:rPr>
                <w:sz w:val="20"/>
              </w:rPr>
              <w:t>Next payment reuses the customer configuration and known counterparty.</w:t>
            </w:r>
          </w:p>
        </w:tc>
        <w:tc>
          <w:tcPr>
            <w:tcW w:type="dxa" w:w="4104"/>
            <w:vAlign w:val="center"/>
            <w:shd w:fill="F3F3F3"/>
            <w:tcMar>
              <w:top w:w="75" w:type="dxa"/>
              <w:bottom w:w="75" w:type="dxa"/>
              <w:left w:w="90" w:type="dxa"/>
              <w:right w:w="90" w:type="dxa"/>
            </w:tcMar>
          </w:tcPr>
          <w:p>
            <w:pPr>
              <w:spacing w:after="0" w:line="245" w:lineRule="auto"/>
            </w:pPr>
            <w:r>
              <w:rPr>
                <w:sz w:val="20"/>
              </w:rPr>
              <w:t>A workflow that the customer can run without the founders.</w:t>
            </w:r>
          </w:p>
        </w:tc>
      </w:tr>
    </w:tbl>
    <w:p>
      <w:pPr>
        <w:spacing w:after="0"/>
      </w:pPr>
    </w:p>
    <w:p>
      <w:r>
        <w:t>A realistic initial job is paying a known data or technical-service supplier after delivery has been accepted offchain. The buyer knows the seller, so public relationship visibility is tolerable; the negotiated rate is the sensitive fact. Erebus settles the approved obligation. It does not guarantee that a dataset is good, that compute will be delivered, or that a seller honors future access.</w:t>
      </w:r>
    </w:p>
    <w:p>
      <w:r>
        <w:t>Deliver the first version as an assisted deployment plus a small operator interface. Do not require both parties to become Erebus experts. Test one company and one existing counterparty together. A seller-facing payment request page is proposed work, not a currently verified feature.</w:t>
      </w:r>
    </w:p>
    <w:p>
      <w:r>
        <w:t>If repeated supplier payments are the only demonstrated need and agent negotiation adds no value, reduce the agent emphasis in the product. Retain MCP as an interface. If simple private transfers solve the entire problem, an integration partnership may be a better business than a separate application.</w:t>
      </w:r>
    </w:p>
    <w:p>
      <w:pPr>
        <w:pStyle w:val="Heading1"/>
        <w:pageBreakBefore/>
      </w:pPr>
      <w:r>
        <w:t>Minimum product and production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824"/>
        <w:gridCol w:w="3168"/>
      </w:tblGrid>
      <w:tr>
        <w:trPr>
          <w:cantSplit/>
          <w:tblHeader/>
        </w:trPr>
        <w:tc>
          <w:tcPr>
            <w:tcW w:type="dxa" w:w="2088"/>
            <w:vAlign w:val="center"/>
            <w:shd w:fill="333333"/>
            <w:tcMar>
              <w:top w:w="75" w:type="dxa"/>
              <w:bottom w:w="75" w:type="dxa"/>
              <w:left w:w="90" w:type="dxa"/>
              <w:right w:w="90" w:type="dxa"/>
            </w:tcMar>
          </w:tcPr>
          <w:p>
            <w:pPr>
              <w:spacing w:after="0" w:line="245" w:lineRule="auto"/>
            </w:pPr>
            <w:r>
              <w:rPr>
                <w:b/>
                <w:color w:val="FFFFFF"/>
                <w:sz w:val="20"/>
              </w:rPr>
              <w:t>Scope</w:t>
            </w:r>
          </w:p>
        </w:tc>
        <w:tc>
          <w:tcPr>
            <w:tcW w:type="dxa" w:w="4824"/>
            <w:vAlign w:val="center"/>
            <w:shd w:fill="333333"/>
            <w:tcMar>
              <w:top w:w="75" w:type="dxa"/>
              <w:bottom w:w="75" w:type="dxa"/>
              <w:left w:w="90" w:type="dxa"/>
              <w:right w:w="90" w:type="dxa"/>
            </w:tcMar>
          </w:tcPr>
          <w:p>
            <w:pPr>
              <w:spacing w:after="0" w:line="245" w:lineRule="auto"/>
            </w:pPr>
            <w:r>
              <w:rPr>
                <w:b/>
                <w:color w:val="FFFFFF"/>
                <w:sz w:val="20"/>
              </w:rPr>
              <w:t>Build or validate</w:t>
            </w:r>
          </w:p>
        </w:tc>
        <w:tc>
          <w:tcPr>
            <w:tcW w:type="dxa" w:w="3168"/>
            <w:vAlign w:val="center"/>
            <w:shd w:fill="333333"/>
            <w:tcMar>
              <w:top w:w="75" w:type="dxa"/>
              <w:bottom w:w="75" w:type="dxa"/>
              <w:left w:w="90" w:type="dxa"/>
              <w:right w:w="90" w:type="dxa"/>
            </w:tcMar>
          </w:tcPr>
          <w:p>
            <w:pPr>
              <w:spacing w:after="0" w:line="245" w:lineRule="auto"/>
            </w:pPr>
            <w:r>
              <w:rPr>
                <w:b/>
                <w:color w:val="FFFFFF"/>
                <w:sz w:val="20"/>
              </w:rPr>
              <w:t>Acceptance test</w:t>
            </w:r>
          </w:p>
        </w:tc>
      </w:tr>
      <w:tr>
        <w:trPr>
          <w:cantSplit/>
        </w:trPr>
        <w:tc>
          <w:tcPr>
            <w:tcW w:type="dxa" w:w="2088"/>
            <w:vAlign w:val="center"/>
            <w:shd w:fill="FFFFFF"/>
            <w:tcMar>
              <w:top w:w="75" w:type="dxa"/>
              <w:bottom w:w="75" w:type="dxa"/>
              <w:left w:w="90" w:type="dxa"/>
              <w:right w:w="90" w:type="dxa"/>
            </w:tcMar>
          </w:tcPr>
          <w:p>
            <w:pPr>
              <w:spacing w:after="0" w:line="245" w:lineRule="auto"/>
            </w:pPr>
            <w:r>
              <w:rPr>
                <w:sz w:val="20"/>
              </w:rPr>
              <w:t>First evaluation</w:t>
            </w:r>
          </w:p>
        </w:tc>
        <w:tc>
          <w:tcPr>
            <w:tcW w:type="dxa" w:w="4824"/>
            <w:vAlign w:val="center"/>
            <w:shd w:fill="FFFFFF"/>
            <w:tcMar>
              <w:top w:w="75" w:type="dxa"/>
              <w:bottom w:w="75" w:type="dxa"/>
              <w:left w:w="90" w:type="dxa"/>
              <w:right w:w="90" w:type="dxa"/>
            </w:tcMar>
          </w:tcPr>
          <w:p>
            <w:pPr>
              <w:spacing w:after="0" w:line="245" w:lineRule="auto"/>
            </w:pPr>
            <w:r>
              <w:rPr>
                <w:sz w:val="20"/>
              </w:rPr>
              <w:t>Browser rehearsal, clean mock install, one guided workflow, documented failures.</w:t>
            </w:r>
          </w:p>
        </w:tc>
        <w:tc>
          <w:tcPr>
            <w:tcW w:type="dxa" w:w="3168"/>
            <w:vAlign w:val="center"/>
            <w:shd w:fill="FFFFFF"/>
            <w:tcMar>
              <w:top w:w="75" w:type="dxa"/>
              <w:bottom w:w="75" w:type="dxa"/>
              <w:left w:w="90" w:type="dxa"/>
              <w:right w:w="90" w:type="dxa"/>
            </w:tcMar>
          </w:tcPr>
          <w:p>
            <w:pPr>
              <w:spacing w:after="0" w:line="245" w:lineRule="auto"/>
            </w:pPr>
            <w:r>
              <w:rPr>
                <w:sz w:val="20"/>
              </w:rPr>
              <w:t>An outside builder completes a deal without a founder editing their environment.</w:t>
            </w:r>
          </w:p>
        </w:tc>
      </w:tr>
      <w:tr>
        <w:trPr>
          <w:cantSplit/>
        </w:trPr>
        <w:tc>
          <w:tcPr>
            <w:tcW w:type="dxa" w:w="2088"/>
            <w:vAlign w:val="center"/>
            <w:shd w:fill="F3F3F3"/>
            <w:tcMar>
              <w:top w:w="75" w:type="dxa"/>
              <w:bottom w:w="75" w:type="dxa"/>
              <w:left w:w="90" w:type="dxa"/>
              <w:right w:w="90" w:type="dxa"/>
            </w:tcMar>
          </w:tcPr>
          <w:p>
            <w:pPr>
              <w:spacing w:after="0" w:line="245" w:lineRule="auto"/>
            </w:pPr>
            <w:r>
              <w:rPr>
                <w:sz w:val="20"/>
              </w:rPr>
              <w:t>First product slice</w:t>
            </w:r>
          </w:p>
        </w:tc>
        <w:tc>
          <w:tcPr>
            <w:tcW w:type="dxa" w:w="4824"/>
            <w:vAlign w:val="center"/>
            <w:shd w:fill="F3F3F3"/>
            <w:tcMar>
              <w:top w:w="75" w:type="dxa"/>
              <w:bottom w:w="75" w:type="dxa"/>
              <w:left w:w="90" w:type="dxa"/>
              <w:right w:w="90" w:type="dxa"/>
            </w:tcMar>
          </w:tcPr>
          <w:p>
            <w:pPr>
              <w:spacing w:after="0" w:line="245" w:lineRule="auto"/>
            </w:pPr>
            <w:r>
              <w:rPr>
                <w:sz w:val="20"/>
              </w:rPr>
              <w:t>Deal inbox, approval screen, status timeline, reconciliation, one-deal disclosure, basic export.</w:t>
            </w:r>
          </w:p>
        </w:tc>
        <w:tc>
          <w:tcPr>
            <w:tcW w:type="dxa" w:w="3168"/>
            <w:vAlign w:val="center"/>
            <w:shd w:fill="F3F3F3"/>
            <w:tcMar>
              <w:top w:w="75" w:type="dxa"/>
              <w:bottom w:w="75" w:type="dxa"/>
              <w:left w:w="90" w:type="dxa"/>
              <w:right w:w="90" w:type="dxa"/>
            </w:tcMar>
          </w:tcPr>
          <w:p>
            <w:pPr>
              <w:spacing w:after="0" w:line="245" w:lineRule="auto"/>
            </w:pPr>
            <w:r>
              <w:rPr>
                <w:sz w:val="20"/>
              </w:rPr>
              <w:t>A team can complete and review the same recurring job twice.</w:t>
            </w:r>
          </w:p>
        </w:tc>
      </w:tr>
      <w:tr>
        <w:trPr>
          <w:cantSplit/>
        </w:trPr>
        <w:tc>
          <w:tcPr>
            <w:tcW w:type="dxa" w:w="2088"/>
            <w:vAlign w:val="center"/>
            <w:shd w:fill="FFFFFF"/>
            <w:tcMar>
              <w:top w:w="75" w:type="dxa"/>
              <w:bottom w:w="75" w:type="dxa"/>
              <w:left w:w="90" w:type="dxa"/>
              <w:right w:w="90" w:type="dxa"/>
            </w:tcMar>
          </w:tcPr>
          <w:p>
            <w:pPr>
              <w:spacing w:after="0" w:line="245" w:lineRule="auto"/>
            </w:pPr>
            <w:r>
              <w:rPr>
                <w:sz w:val="20"/>
              </w:rPr>
              <w:t>Controls</w:t>
            </w:r>
          </w:p>
        </w:tc>
        <w:tc>
          <w:tcPr>
            <w:tcW w:type="dxa" w:w="4824"/>
            <w:vAlign w:val="center"/>
            <w:shd w:fill="FFFFFF"/>
            <w:tcMar>
              <w:top w:w="75" w:type="dxa"/>
              <w:bottom w:w="75" w:type="dxa"/>
              <w:left w:w="90" w:type="dxa"/>
              <w:right w:w="90" w:type="dxa"/>
            </w:tcMar>
          </w:tcPr>
          <w:p>
            <w:pPr>
              <w:spacing w:after="0" w:line="245" w:lineRule="auto"/>
            </w:pPr>
            <w:r>
              <w:rPr>
                <w:sz w:val="20"/>
              </w:rPr>
              <w:t>Spend limit, token and counterparty allowlist, explicit payer role, approval gate, emergency pause.</w:t>
            </w:r>
          </w:p>
        </w:tc>
        <w:tc>
          <w:tcPr>
            <w:tcW w:type="dxa" w:w="3168"/>
            <w:vAlign w:val="center"/>
            <w:shd w:fill="FFFFFF"/>
            <w:tcMar>
              <w:top w:w="75" w:type="dxa"/>
              <w:bottom w:w="75" w:type="dxa"/>
              <w:left w:w="90" w:type="dxa"/>
              <w:right w:w="90" w:type="dxa"/>
            </w:tcMar>
          </w:tcPr>
          <w:p>
            <w:pPr>
              <w:spacing w:after="0" w:line="245" w:lineRule="auto"/>
            </w:pPr>
            <w:r>
              <w:rPr>
                <w:sz w:val="20"/>
              </w:rPr>
              <w:t>An agent instruction cannot bypass the enforcement layer.</w:t>
            </w:r>
          </w:p>
        </w:tc>
      </w:tr>
      <w:tr>
        <w:trPr>
          <w:cantSplit/>
        </w:trPr>
        <w:tc>
          <w:tcPr>
            <w:tcW w:type="dxa" w:w="2088"/>
            <w:vAlign w:val="center"/>
            <w:shd w:fill="F3F3F3"/>
            <w:tcMar>
              <w:top w:w="75" w:type="dxa"/>
              <w:bottom w:w="75" w:type="dxa"/>
              <w:left w:w="90" w:type="dxa"/>
              <w:right w:w="90" w:type="dxa"/>
            </w:tcMar>
          </w:tcPr>
          <w:p>
            <w:pPr>
              <w:spacing w:after="0" w:line="245" w:lineRule="auto"/>
            </w:pPr>
            <w:r>
              <w:rPr>
                <w:sz w:val="20"/>
              </w:rPr>
              <w:t>Key boundary</w:t>
            </w:r>
          </w:p>
        </w:tc>
        <w:tc>
          <w:tcPr>
            <w:tcW w:type="dxa" w:w="4824"/>
            <w:vAlign w:val="center"/>
            <w:shd w:fill="F3F3F3"/>
            <w:tcMar>
              <w:top w:w="75" w:type="dxa"/>
              <w:bottom w:w="75" w:type="dxa"/>
              <w:left w:w="90" w:type="dxa"/>
              <w:right w:w="90" w:type="dxa"/>
            </w:tcMar>
          </w:tcPr>
          <w:p>
            <w:pPr>
              <w:spacing w:after="0" w:line="245" w:lineRule="auto"/>
            </w:pPr>
            <w:r>
              <w:rPr>
                <w:sz w:val="20"/>
              </w:rPr>
              <w:t>Customer-operated execution and explicit RPC/prover trust choice; no secret collection in analytics.</w:t>
            </w:r>
          </w:p>
        </w:tc>
        <w:tc>
          <w:tcPr>
            <w:tcW w:type="dxa" w:w="3168"/>
            <w:vAlign w:val="center"/>
            <w:shd w:fill="F3F3F3"/>
            <w:tcMar>
              <w:top w:w="75" w:type="dxa"/>
              <w:bottom w:w="75" w:type="dxa"/>
              <w:left w:w="90" w:type="dxa"/>
              <w:right w:w="90" w:type="dxa"/>
            </w:tcMar>
          </w:tcPr>
          <w:p>
            <w:pPr>
              <w:spacing w:after="0" w:line="245" w:lineRule="auto"/>
            </w:pPr>
            <w:r>
              <w:rPr>
                <w:sz w:val="20"/>
              </w:rPr>
              <w:t>Threat model states who sees keys and contents at every step.</w:t>
            </w:r>
          </w:p>
        </w:tc>
      </w:tr>
      <w:tr>
        <w:trPr>
          <w:cantSplit/>
        </w:trPr>
        <w:tc>
          <w:tcPr>
            <w:tcW w:type="dxa" w:w="2088"/>
            <w:vAlign w:val="center"/>
            <w:shd w:fill="FFFFFF"/>
            <w:tcMar>
              <w:top w:w="75" w:type="dxa"/>
              <w:bottom w:w="75" w:type="dxa"/>
              <w:left w:w="90" w:type="dxa"/>
              <w:right w:w="90" w:type="dxa"/>
            </w:tcMar>
          </w:tcPr>
          <w:p>
            <w:pPr>
              <w:spacing w:after="0" w:line="245" w:lineRule="auto"/>
            </w:pPr>
            <w:r>
              <w:rPr>
                <w:sz w:val="20"/>
              </w:rPr>
              <w:t>Commercial payment rail</w:t>
            </w:r>
          </w:p>
        </w:tc>
        <w:tc>
          <w:tcPr>
            <w:tcW w:type="dxa" w:w="4824"/>
            <w:vAlign w:val="center"/>
            <w:shd w:fill="FFFFFF"/>
            <w:tcMar>
              <w:top w:w="75" w:type="dxa"/>
              <w:bottom w:w="75" w:type="dxa"/>
              <w:left w:w="90" w:type="dxa"/>
              <w:right w:w="90" w:type="dxa"/>
            </w:tcMar>
          </w:tcPr>
          <w:p>
            <w:pPr>
              <w:spacing w:after="0" w:line="245" w:lineRule="auto"/>
            </w:pPr>
            <w:r>
              <w:rPr>
                <w:sz w:val="20"/>
              </w:rPr>
              <w:t>Validate the stablecoin and network the pilot actually uses.</w:t>
            </w:r>
          </w:p>
        </w:tc>
        <w:tc>
          <w:tcPr>
            <w:tcW w:type="dxa" w:w="3168"/>
            <w:vAlign w:val="center"/>
            <w:shd w:fill="FFFFFF"/>
            <w:tcMar>
              <w:top w:w="75" w:type="dxa"/>
              <w:bottom w:w="75" w:type="dxa"/>
              <w:left w:w="90" w:type="dxa"/>
              <w:right w:w="90" w:type="dxa"/>
            </w:tcMar>
          </w:tcPr>
          <w:p>
            <w:pPr>
              <w:spacing w:after="0" w:line="245" w:lineRule="auto"/>
            </w:pPr>
            <w:r>
              <w:rPr>
                <w:sz w:val="20"/>
              </w:rPr>
              <w:t>End-to-end token evidence, fees, funding, and failure recovery recorded.</w:t>
            </w:r>
          </w:p>
        </w:tc>
      </w:tr>
      <w:tr>
        <w:trPr>
          <w:cantSplit/>
        </w:trPr>
        <w:tc>
          <w:tcPr>
            <w:tcW w:type="dxa" w:w="2088"/>
            <w:vAlign w:val="center"/>
            <w:shd w:fill="F3F3F3"/>
            <w:tcMar>
              <w:top w:w="75" w:type="dxa"/>
              <w:bottom w:w="75" w:type="dxa"/>
              <w:left w:w="90" w:type="dxa"/>
              <w:right w:w="90" w:type="dxa"/>
            </w:tcMar>
          </w:tcPr>
          <w:p>
            <w:pPr>
              <w:spacing w:after="0" w:line="245" w:lineRule="auto"/>
            </w:pPr>
            <w:r>
              <w:rPr>
                <w:sz w:val="20"/>
              </w:rPr>
              <w:t>Material-value readiness</w:t>
            </w:r>
          </w:p>
        </w:tc>
        <w:tc>
          <w:tcPr>
            <w:tcW w:type="dxa" w:w="4824"/>
            <w:vAlign w:val="center"/>
            <w:shd w:fill="F3F3F3"/>
            <w:tcMar>
              <w:top w:w="75" w:type="dxa"/>
              <w:bottom w:w="75" w:type="dxa"/>
              <w:left w:w="90" w:type="dxa"/>
              <w:right w:w="90" w:type="dxa"/>
            </w:tcMar>
          </w:tcPr>
          <w:p>
            <w:pPr>
              <w:spacing w:after="0" w:line="245" w:lineRule="auto"/>
            </w:pPr>
            <w:r>
              <w:rPr>
                <w:sz w:val="20"/>
              </w:rPr>
              <w:t>Independent review, recoverability, monitoring, incident ownership, bounded operating limits.</w:t>
            </w:r>
          </w:p>
        </w:tc>
        <w:tc>
          <w:tcPr>
            <w:tcW w:type="dxa" w:w="3168"/>
            <w:vAlign w:val="center"/>
            <w:shd w:fill="F3F3F3"/>
            <w:tcMar>
              <w:top w:w="75" w:type="dxa"/>
              <w:bottom w:w="75" w:type="dxa"/>
              <w:left w:w="90" w:type="dxa"/>
              <w:right w:w="90" w:type="dxa"/>
            </w:tcMar>
          </w:tcPr>
          <w:p>
            <w:pPr>
              <w:spacing w:after="0" w:line="245" w:lineRule="auto"/>
            </w:pPr>
            <w:r>
              <w:rPr>
                <w:sz w:val="20"/>
              </w:rPr>
              <w:t>Critical findings addressed and customer operating requirements met.</w:t>
            </w:r>
          </w:p>
        </w:tc>
      </w:tr>
    </w:tbl>
    <w:p>
      <w:pPr>
        <w:spacing w:after="0"/>
      </w:pPr>
    </w:p>
    <w:p>
      <w:r>
        <w:t>Some controls exist at the tool layer, but a complete budget and authorization product has not been established by the reviewed evidence. Turnkey’s policy documentation is a useful reference for enforcing decisions below the agent. Compatibility with Erebus’s account and pool-key architecture must be evaluated rather than assumed.</w:t>
      </w:r>
      <w:r>
        <w:rPr>
          <w:vertAlign w:val="superscript"/>
        </w:rPr>
        <w:footnoteReference w:id="17"/>
      </w:r>
      <w:r/>
    </w:p>
    <w:p>
      <w:r>
        <w:t>The current runbook exposes multiple identities, endpoints, key paths, allowances, proof readiness, and recovery steps. Productization means turning these into a dependable setup and operating flow. A polished landing page cannot compensate for a builder failing at the first real transaction.</w:t>
      </w:r>
      <w:r>
        <w:rPr>
          <w:vertAlign w:val="superscript"/>
        </w:rPr>
        <w:footnoteReference w:id="18"/>
      </w:r>
      <w:r/>
    </w:p>
    <w:p>
      <w:pPr>
        <w:pStyle w:val="Heading2"/>
      </w:pPr>
      <w:r>
        <w:t>Architecture choice to validate</w:t>
      </w:r>
    </w:p>
    <w:p>
      <w:r>
        <w:t>Keeping all negotiation rounds onchain provides an onchain encrypted history but incurs an action for each round. If customers mainly want an approved obligation settled privately, consider encrypted offchain negotiation with an onchain commitment and settlement. That is an architectural investigation, not a shipped capability. It changes persistence and disclosure assumptions and may require new contracts and security review.</w:t>
      </w:r>
    </w:p>
    <w:p>
      <w:r>
        <w:t>Do not make a cloud control plane silently able to read every customer deal. Store minimal opaque identifiers and status by default; keep keys and sensitive records within the customer’s stated trust boundary. Authenticated retrieval must protect private terms, and URLs, analytics, logs, support tickets, and screenshots must not expose them.</w:t>
      </w:r>
    </w:p>
    <w:p>
      <w:r>
        <w:t>Before offering hosted handling of customer funds or keys, obtain advice for the actual operating jurisdictions and service design. Scoped disclosure alone is not a legal compliance certification. This is a commercial dependency to resolve once the offer and deployment model are concrete.</w:t>
      </w:r>
    </w:p>
    <w:p>
      <w:pPr>
        <w:pStyle w:val="Heading1"/>
        <w:pageBreakBefore/>
      </w:pPr>
      <w:r>
        <w:t>Pricing and revenue tests</w:t>
      </w:r>
    </w:p>
    <w:p>
      <w:r>
        <w:t>Sell saved integration and operating work first. The open-source protocol remains available. A customer pays for a deployment that works, repeatable operations, controls, support, and integration with its workflow. Do not invent an unavoidable protocol toll when software is open and transaction execution can bypass a hosted service.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880"/>
        <w:gridCol w:w="5184"/>
      </w:tblGrid>
      <w:tr>
        <w:trPr>
          <w:cantSplit/>
          <w:tblHeader/>
        </w:trPr>
        <w:tc>
          <w:tcPr>
            <w:tcW w:type="dxa" w:w="2016"/>
            <w:vAlign w:val="center"/>
            <w:shd w:fill="333333"/>
            <w:tcMar>
              <w:top w:w="75" w:type="dxa"/>
              <w:bottom w:w="75" w:type="dxa"/>
              <w:left w:w="90" w:type="dxa"/>
              <w:right w:w="90" w:type="dxa"/>
            </w:tcMar>
          </w:tcPr>
          <w:p>
            <w:pPr>
              <w:spacing w:after="0" w:line="245" w:lineRule="auto"/>
            </w:pPr>
            <w:r>
              <w:rPr>
                <w:b/>
                <w:color w:val="FFFFFF"/>
                <w:sz w:val="20"/>
              </w:rPr>
              <w:t>Offer</w:t>
            </w:r>
          </w:p>
        </w:tc>
        <w:tc>
          <w:tcPr>
            <w:tcW w:type="dxa" w:w="2880"/>
            <w:vAlign w:val="center"/>
            <w:shd w:fill="333333"/>
            <w:tcMar>
              <w:top w:w="75" w:type="dxa"/>
              <w:bottom w:w="75" w:type="dxa"/>
              <w:left w:w="90" w:type="dxa"/>
              <w:right w:w="90" w:type="dxa"/>
            </w:tcMar>
          </w:tcPr>
          <w:p>
            <w:pPr>
              <w:spacing w:after="0" w:line="245" w:lineRule="auto"/>
            </w:pPr>
            <w:r>
              <w:rPr>
                <w:b/>
                <w:color w:val="FFFFFF"/>
                <w:sz w:val="20"/>
              </w:rPr>
              <w:t>Price hypothesis in USD</w:t>
            </w:r>
          </w:p>
        </w:tc>
        <w:tc>
          <w:tcPr>
            <w:tcW w:type="dxa" w:w="5184"/>
            <w:vAlign w:val="center"/>
            <w:shd w:fill="333333"/>
            <w:tcMar>
              <w:top w:w="75" w:type="dxa"/>
              <w:bottom w:w="75" w:type="dxa"/>
              <w:left w:w="90" w:type="dxa"/>
              <w:right w:w="90" w:type="dxa"/>
            </w:tcMar>
          </w:tcPr>
          <w:p>
            <w:pPr>
              <w:spacing w:after="0" w:line="245" w:lineRule="auto"/>
            </w:pPr>
            <w:r>
              <w:rPr>
                <w:b/>
                <w:color w:val="FFFFFF"/>
                <w:sz w:val="20"/>
              </w:rPr>
              <w:t>Defined scope</w:t>
            </w:r>
          </w:p>
        </w:tc>
      </w:tr>
      <w:tr>
        <w:trPr>
          <w:cantSplit/>
        </w:trPr>
        <w:tc>
          <w:tcPr>
            <w:tcW w:type="dxa" w:w="2016"/>
            <w:vAlign w:val="center"/>
            <w:shd w:fill="FFFFFF"/>
            <w:tcMar>
              <w:top w:w="75" w:type="dxa"/>
              <w:bottom w:w="75" w:type="dxa"/>
              <w:left w:w="90" w:type="dxa"/>
              <w:right w:w="90" w:type="dxa"/>
            </w:tcMar>
          </w:tcPr>
          <w:p>
            <w:pPr>
              <w:spacing w:after="0" w:line="245" w:lineRule="auto"/>
            </w:pPr>
            <w:r>
              <w:rPr>
                <w:sz w:val="20"/>
              </w:rPr>
              <w:t>Developer evaluation</w:t>
            </w:r>
          </w:p>
        </w:tc>
        <w:tc>
          <w:tcPr>
            <w:tcW w:type="dxa" w:w="2880"/>
            <w:vAlign w:val="center"/>
            <w:shd w:fill="FFFFFF"/>
            <w:tcMar>
              <w:top w:w="75" w:type="dxa"/>
              <w:bottom w:w="75" w:type="dxa"/>
              <w:left w:w="90" w:type="dxa"/>
              <w:right w:w="90" w:type="dxa"/>
            </w:tcMar>
          </w:tcPr>
          <w:p>
            <w:pPr>
              <w:spacing w:after="0" w:line="245" w:lineRule="auto"/>
            </w:pPr>
            <w:r>
              <w:rPr>
                <w:sz w:val="20"/>
              </w:rPr>
              <w:t>Free</w:t>
            </w:r>
          </w:p>
        </w:tc>
        <w:tc>
          <w:tcPr>
            <w:tcW w:type="dxa" w:w="5184"/>
            <w:vAlign w:val="center"/>
            <w:shd w:fill="FFFFFF"/>
            <w:tcMar>
              <w:top w:w="75" w:type="dxa"/>
              <w:bottom w:w="75" w:type="dxa"/>
              <w:left w:w="90" w:type="dxa"/>
              <w:right w:w="90" w:type="dxa"/>
            </w:tcMar>
          </w:tcPr>
          <w:p>
            <w:pPr>
              <w:spacing w:after="0" w:line="245" w:lineRule="auto"/>
            </w:pPr>
            <w:r>
              <w:rPr>
                <w:sz w:val="20"/>
              </w:rPr>
              <w:t>Mock workflow, public docs, community support; no managed funds.</w:t>
            </w:r>
          </w:p>
        </w:tc>
      </w:tr>
      <w:tr>
        <w:trPr>
          <w:cantSplit/>
        </w:trPr>
        <w:tc>
          <w:tcPr>
            <w:tcW w:type="dxa" w:w="2016"/>
            <w:vAlign w:val="center"/>
            <w:shd w:fill="F3F3F3"/>
            <w:tcMar>
              <w:top w:w="75" w:type="dxa"/>
              <w:bottom w:w="75" w:type="dxa"/>
              <w:left w:w="90" w:type="dxa"/>
              <w:right w:w="90" w:type="dxa"/>
            </w:tcMar>
          </w:tcPr>
          <w:p>
            <w:pPr>
              <w:spacing w:after="0" w:line="245" w:lineRule="auto"/>
            </w:pPr>
            <w:r>
              <w:rPr>
                <w:sz w:val="20"/>
              </w:rPr>
              <w:t>Paid design pilot</w:t>
            </w:r>
          </w:p>
        </w:tc>
        <w:tc>
          <w:tcPr>
            <w:tcW w:type="dxa" w:w="2880"/>
            <w:vAlign w:val="center"/>
            <w:shd w:fill="F3F3F3"/>
            <w:tcMar>
              <w:top w:w="75" w:type="dxa"/>
              <w:bottom w:w="75" w:type="dxa"/>
              <w:left w:w="90" w:type="dxa"/>
              <w:right w:w="90" w:type="dxa"/>
            </w:tcMar>
          </w:tcPr>
          <w:p>
            <w:pPr>
              <w:spacing w:after="0" w:line="245" w:lineRule="auto"/>
            </w:pPr>
            <w:r>
              <w:rPr>
                <w:sz w:val="20"/>
              </w:rPr>
              <w:t>$750 one time; test a $500 to $1500 range</w:t>
            </w:r>
          </w:p>
        </w:tc>
        <w:tc>
          <w:tcPr>
            <w:tcW w:type="dxa" w:w="5184"/>
            <w:vAlign w:val="center"/>
            <w:shd w:fill="F3F3F3"/>
            <w:tcMar>
              <w:top w:w="75" w:type="dxa"/>
              <w:bottom w:w="75" w:type="dxa"/>
              <w:left w:w="90" w:type="dxa"/>
              <w:right w:w="90" w:type="dxa"/>
            </w:tcMar>
          </w:tcPr>
          <w:p>
            <w:pPr>
              <w:spacing w:after="0" w:line="245" w:lineRule="auto"/>
            </w:pPr>
            <w:r>
              <w:rPr>
                <w:sz w:val="20"/>
              </w:rPr>
              <w:t>One workflow, two counterparties, two working sessions, failure review, and written integration outcome. Evaluation first.</w:t>
            </w:r>
          </w:p>
        </w:tc>
      </w:tr>
      <w:tr>
        <w:trPr>
          <w:cantSplit/>
        </w:trPr>
        <w:tc>
          <w:tcPr>
            <w:tcW w:type="dxa" w:w="2016"/>
            <w:vAlign w:val="center"/>
            <w:shd w:fill="FFFFFF"/>
            <w:tcMar>
              <w:top w:w="75" w:type="dxa"/>
              <w:bottom w:w="75" w:type="dxa"/>
              <w:left w:w="90" w:type="dxa"/>
              <w:right w:w="90" w:type="dxa"/>
            </w:tcMar>
          </w:tcPr>
          <w:p>
            <w:pPr>
              <w:spacing w:after="0" w:line="245" w:lineRule="auto"/>
            </w:pPr>
            <w:r>
              <w:rPr>
                <w:sz w:val="20"/>
              </w:rPr>
              <w:t>Team workflow</w:t>
            </w:r>
          </w:p>
        </w:tc>
        <w:tc>
          <w:tcPr>
            <w:tcW w:type="dxa" w:w="2880"/>
            <w:vAlign w:val="center"/>
            <w:shd w:fill="FFFFFF"/>
            <w:tcMar>
              <w:top w:w="75" w:type="dxa"/>
              <w:bottom w:w="75" w:type="dxa"/>
              <w:left w:w="90" w:type="dxa"/>
              <w:right w:w="90" w:type="dxa"/>
            </w:tcMar>
          </w:tcPr>
          <w:p>
            <w:pPr>
              <w:spacing w:after="0" w:line="245" w:lineRule="auto"/>
            </w:pPr>
            <w:r>
              <w:rPr>
                <w:sz w:val="20"/>
              </w:rPr>
              <w:t>$299 per team per month after repeat use</w:t>
            </w:r>
          </w:p>
        </w:tc>
        <w:tc>
          <w:tcPr>
            <w:tcW w:type="dxa" w:w="5184"/>
            <w:vAlign w:val="center"/>
            <w:shd w:fill="FFFFFF"/>
            <w:tcMar>
              <w:top w:w="75" w:type="dxa"/>
              <w:bottom w:w="75" w:type="dxa"/>
              <w:left w:w="90" w:type="dxa"/>
              <w:right w:w="90" w:type="dxa"/>
            </w:tcMar>
          </w:tcPr>
          <w:p>
            <w:pPr>
              <w:spacing w:after="0" w:line="245" w:lineRule="auto"/>
            </w:pPr>
            <w:r>
              <w:rPr>
                <w:sz w:val="20"/>
              </w:rPr>
              <w:t>One deployment, operator workspace, recovery tooling, scoped records, and bounded support. Network/prover charges separate.</w:t>
            </w:r>
          </w:p>
        </w:tc>
      </w:tr>
      <w:tr>
        <w:trPr>
          <w:cantSplit/>
        </w:trPr>
        <w:tc>
          <w:tcPr>
            <w:tcW w:type="dxa" w:w="2016"/>
            <w:vAlign w:val="center"/>
            <w:shd w:fill="F3F3F3"/>
            <w:tcMar>
              <w:top w:w="75" w:type="dxa"/>
              <w:bottom w:w="75" w:type="dxa"/>
              <w:left w:w="90" w:type="dxa"/>
              <w:right w:w="90" w:type="dxa"/>
            </w:tcMar>
          </w:tcPr>
          <w:p>
            <w:pPr>
              <w:spacing w:after="0" w:line="245" w:lineRule="auto"/>
            </w:pPr>
            <w:r>
              <w:rPr>
                <w:sz w:val="20"/>
              </w:rPr>
              <w:t>Dedicated deployment</w:t>
            </w:r>
          </w:p>
        </w:tc>
        <w:tc>
          <w:tcPr>
            <w:tcW w:type="dxa" w:w="2880"/>
            <w:vAlign w:val="center"/>
            <w:shd w:fill="F3F3F3"/>
            <w:tcMar>
              <w:top w:w="75" w:type="dxa"/>
              <w:bottom w:w="75" w:type="dxa"/>
              <w:left w:w="90" w:type="dxa"/>
              <w:right w:w="90" w:type="dxa"/>
            </w:tcMar>
          </w:tcPr>
          <w:p>
            <w:pPr>
              <w:spacing w:after="0" w:line="245" w:lineRule="auto"/>
            </w:pPr>
            <w:r>
              <w:rPr>
                <w:sz w:val="20"/>
              </w:rPr>
              <w:t>Quote after discovery</w:t>
            </w:r>
          </w:p>
        </w:tc>
        <w:tc>
          <w:tcPr>
            <w:tcW w:type="dxa" w:w="5184"/>
            <w:vAlign w:val="center"/>
            <w:shd w:fill="F3F3F3"/>
            <w:tcMar>
              <w:top w:w="75" w:type="dxa"/>
              <w:bottom w:w="75" w:type="dxa"/>
              <w:left w:w="90" w:type="dxa"/>
              <w:right w:w="90" w:type="dxa"/>
            </w:tcMar>
          </w:tcPr>
          <w:p>
            <w:pPr>
              <w:spacing w:after="0" w:line="245" w:lineRule="auto"/>
            </w:pPr>
            <w:r>
              <w:rPr>
                <w:sz w:val="20"/>
              </w:rPr>
              <w:t>Customer environment, integration and operational requirements; no invented SLA before capability exists.</w:t>
            </w:r>
          </w:p>
        </w:tc>
      </w:tr>
    </w:tbl>
    <w:p>
      <w:pPr>
        <w:spacing w:after="0"/>
      </w:pPr>
    </w:p>
    <w:p>
      <w:r>
        <w:t>These prices are proposed experiments, not market-cleared rates or earnings predictions. Define a support-hour cap and a clear deliverable for pilots. Charge for the integration work even if the customer decides against live use; make that scope explicit before the engagement.</w:t>
      </w:r>
    </w:p>
    <w:p>
      <w:pPr>
        <w:pStyle w:val="Heading2"/>
      </w:pPr>
      <w:r>
        <w:t>Price pressure from existing products</w:t>
      </w:r>
    </w:p>
    <w:p>
      <w:r>
        <w:t>Request Finance’s visible annual-billing prices include $42 per month for Starter and $250 for Growth, with stablecoin payout processing listed as free. Coinbase’s facilitator lists the first 1,000 monthly settlements free, then $0.001 each; the current FAQ says normal settlement gas is covered. These are different products, but they make a large fee for an undifferentiated transfer hard to defend.</w:t>
      </w:r>
      <w:r>
        <w:rPr>
          <w:vertAlign w:val="superscript"/>
        </w:rPr>
        <w:footnoteReference w:id="19"/>
      </w:r>
      <w:r/>
    </w:p>
    <w:p>
      <w:r>
        <w:t>Turnkey separately prices wallet infrastructure and higher-touch service features. The useful lesson is packaging and supported operations; its prices do not establish that customers will buy Erebus.</w:t>
      </w:r>
      <w:r>
        <w:rPr>
          <w:vertAlign w:val="superscript"/>
        </w:rPr>
        <w:footnoteReference w:id="20"/>
      </w:r>
      <w:r/>
    </w:p>
    <w:p>
      <w:pPr>
        <w:pStyle w:val="Heading2"/>
      </w:pPr>
      <w:r>
        <w:t>How to test payment intent</w:t>
      </w:r>
    </w:p>
    <w:p>
      <w:r>
        <w:t>After watching a real workflow, offer the bounded pilot to the budget owner. Ask which recurring task it will replace, who will operate it, which counterparty will participate, and when the next two payments happen. A paid pilot, a scheduled implementation, or a named budget with a procurement step is stronger evidence than a compliment or nonbinding waitlist signup.</w:t>
      </w:r>
    </w:p>
    <w:p>
      <w:pPr>
        <w:pStyle w:val="Heading1"/>
        <w:pageBreakBefore/>
      </w:pPr>
      <w:r>
        <w:t>Unit economics and business scale</w:t>
      </w:r>
    </w:p>
    <w:p>
      <w:r>
        <w:t>The August 31 0.6 STRK canary records 11.211356 STRK in network fees plus 24 STRK in pool fees, for 35.211356 STRK total. It reused existing channels and included funding plus negotiation and settlement. It is a historical full-workflow cost, not today’s marginal settlement fee or a throughput benchmark.</w:t>
      </w:r>
      <w:r>
        <w:rPr>
          <w:vertAlign w:val="superscript"/>
        </w:rPr>
        <w:footnoteReference w:id="21"/>
      </w:r>
      <w:r/>
    </w:p>
    <w:p>
      <w:r>
        <w:t>This was about 58.7 times the tiny test payment, calculated from that record. That ratio does not imply that larger payments have the same percentage overhead. It does establish that a per-call micropayment pitch needs measured economics, not an assumption that shielded transfers are cheap enough. Re-measure setup, repeat-deal, extra-round, retry, and disclosure costs separately, using current endpoints and the intended token.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00"/>
        <w:gridCol w:w="4248"/>
      </w:tblGrid>
      <w:tr>
        <w:trPr>
          <w:cantSplit/>
          <w:tblHeader/>
        </w:trPr>
        <w:tc>
          <w:tcPr>
            <w:tcW w:type="dxa" w:w="2232"/>
            <w:vAlign w:val="center"/>
            <w:shd w:fill="333333"/>
            <w:tcMar>
              <w:top w:w="75" w:type="dxa"/>
              <w:bottom w:w="75" w:type="dxa"/>
              <w:left w:w="90" w:type="dxa"/>
              <w:right w:w="90" w:type="dxa"/>
            </w:tcMar>
          </w:tcPr>
          <w:p>
            <w:pPr>
              <w:spacing w:after="0" w:line="245" w:lineRule="auto"/>
            </w:pPr>
            <w:r>
              <w:rPr>
                <w:b/>
                <w:color w:val="FFFFFF"/>
                <w:sz w:val="20"/>
              </w:rPr>
              <w:t>Revenue model</w:t>
            </w:r>
          </w:p>
        </w:tc>
        <w:tc>
          <w:tcPr>
            <w:tcW w:type="dxa" w:w="3600"/>
            <w:vAlign w:val="center"/>
            <w:shd w:fill="333333"/>
            <w:tcMar>
              <w:top w:w="75" w:type="dxa"/>
              <w:bottom w:w="75" w:type="dxa"/>
              <w:left w:w="90" w:type="dxa"/>
              <w:right w:w="90" w:type="dxa"/>
            </w:tcMar>
          </w:tcPr>
          <w:p>
            <w:pPr>
              <w:spacing w:after="0" w:line="245" w:lineRule="auto"/>
            </w:pPr>
            <w:r>
              <w:rPr>
                <w:b/>
                <w:color w:val="FFFFFF"/>
                <w:sz w:val="20"/>
              </w:rPr>
              <w:t>Illustrative arithmetic</w:t>
            </w:r>
          </w:p>
        </w:tc>
        <w:tc>
          <w:tcPr>
            <w:tcW w:type="dxa" w:w="4248"/>
            <w:vAlign w:val="center"/>
            <w:shd w:fill="333333"/>
            <w:tcMar>
              <w:top w:w="75" w:type="dxa"/>
              <w:bottom w:w="75" w:type="dxa"/>
              <w:left w:w="90" w:type="dxa"/>
              <w:right w:w="90" w:type="dxa"/>
            </w:tcMar>
          </w:tcPr>
          <w:p>
            <w:pPr>
              <w:spacing w:after="0" w:line="245" w:lineRule="auto"/>
            </w:pPr>
            <w:r>
              <w:rPr>
                <w:b/>
                <w:color w:val="FFFFFF"/>
                <w:sz w:val="20"/>
              </w:rPr>
              <w:t>Implication</w:t>
            </w:r>
          </w:p>
        </w:tc>
      </w:tr>
      <w:tr>
        <w:trPr>
          <w:cantSplit/>
        </w:trPr>
        <w:tc>
          <w:tcPr>
            <w:tcW w:type="dxa" w:w="2232"/>
            <w:vAlign w:val="center"/>
            <w:shd w:fill="FFFFFF"/>
            <w:tcMar>
              <w:top w:w="75" w:type="dxa"/>
              <w:bottom w:w="75" w:type="dxa"/>
              <w:left w:w="90" w:type="dxa"/>
              <w:right w:w="90" w:type="dxa"/>
            </w:tcMar>
          </w:tcPr>
          <w:p>
            <w:pPr>
              <w:spacing w:after="0" w:line="245" w:lineRule="auto"/>
            </w:pPr>
            <w:r>
              <w:rPr>
                <w:sz w:val="20"/>
              </w:rPr>
              <w:t>Subscription</w:t>
            </w:r>
          </w:p>
        </w:tc>
        <w:tc>
          <w:tcPr>
            <w:tcW w:type="dxa" w:w="3600"/>
            <w:vAlign w:val="center"/>
            <w:shd w:fill="FFFFFF"/>
            <w:tcMar>
              <w:top w:w="75" w:type="dxa"/>
              <w:bottom w:w="75" w:type="dxa"/>
              <w:left w:w="90" w:type="dxa"/>
              <w:right w:w="90" w:type="dxa"/>
            </w:tcMar>
          </w:tcPr>
          <w:p>
            <w:pPr>
              <w:spacing w:after="0" w:line="245" w:lineRule="auto"/>
            </w:pPr>
            <w:r>
              <w:rPr>
                <w:sz w:val="20"/>
              </w:rPr>
              <w:t>5 × $299 = $1495 MRR</w:t>
            </w:r>
          </w:p>
        </w:tc>
        <w:tc>
          <w:tcPr>
            <w:tcW w:type="dxa" w:w="4248"/>
            <w:vAlign w:val="center"/>
            <w:shd w:fill="FFFFFF"/>
            <w:tcMar>
              <w:top w:w="75" w:type="dxa"/>
              <w:bottom w:w="75" w:type="dxa"/>
              <w:left w:w="90" w:type="dxa"/>
              <w:right w:w="90" w:type="dxa"/>
            </w:tcMar>
          </w:tcPr>
          <w:p>
            <w:pPr>
              <w:spacing w:after="0" w:line="245" w:lineRule="auto"/>
            </w:pPr>
            <w:r>
              <w:rPr>
                <w:sz w:val="20"/>
              </w:rPr>
              <w:t>An initial paying cohort, not a full business.</w:t>
            </w:r>
          </w:p>
        </w:tc>
      </w:tr>
      <w:tr>
        <w:trPr>
          <w:cantSplit/>
        </w:trPr>
        <w:tc>
          <w:tcPr>
            <w:tcW w:type="dxa" w:w="2232"/>
            <w:vAlign w:val="center"/>
            <w:shd w:fill="F3F3F3"/>
            <w:tcMar>
              <w:top w:w="75" w:type="dxa"/>
              <w:bottom w:w="75" w:type="dxa"/>
              <w:left w:w="90" w:type="dxa"/>
              <w:right w:w="90" w:type="dxa"/>
            </w:tcMar>
          </w:tcPr>
          <w:p>
            <w:pPr>
              <w:spacing w:after="0" w:line="245" w:lineRule="auto"/>
            </w:pPr>
            <w:r>
              <w:rPr>
                <w:sz w:val="20"/>
              </w:rPr>
              <w:t>Subscription</w:t>
            </w:r>
          </w:p>
        </w:tc>
        <w:tc>
          <w:tcPr>
            <w:tcW w:type="dxa" w:w="3600"/>
            <w:vAlign w:val="center"/>
            <w:shd w:fill="F3F3F3"/>
            <w:tcMar>
              <w:top w:w="75" w:type="dxa"/>
              <w:bottom w:w="75" w:type="dxa"/>
              <w:left w:w="90" w:type="dxa"/>
              <w:right w:w="90" w:type="dxa"/>
            </w:tcMar>
          </w:tcPr>
          <w:p>
            <w:pPr>
              <w:spacing w:after="0" w:line="245" w:lineRule="auto"/>
            </w:pPr>
            <w:r>
              <w:rPr>
                <w:sz w:val="20"/>
              </w:rPr>
              <w:t>20 × $299 = $5980 MRR</w:t>
            </w:r>
          </w:p>
        </w:tc>
        <w:tc>
          <w:tcPr>
            <w:tcW w:type="dxa" w:w="4248"/>
            <w:vAlign w:val="center"/>
            <w:shd w:fill="F3F3F3"/>
            <w:tcMar>
              <w:top w:w="75" w:type="dxa"/>
              <w:bottom w:w="75" w:type="dxa"/>
              <w:left w:w="90" w:type="dxa"/>
              <w:right w:w="90" w:type="dxa"/>
            </w:tcMar>
          </w:tcPr>
          <w:p>
            <w:pPr>
              <w:spacing w:after="0" w:line="245" w:lineRule="auto"/>
            </w:pPr>
            <w:r>
              <w:rPr>
                <w:sz w:val="20"/>
              </w:rPr>
              <w:t>Potential small business if support and acquisition costs are controlled.</w:t>
            </w:r>
          </w:p>
        </w:tc>
      </w:tr>
      <w:tr>
        <w:trPr>
          <w:cantSplit/>
        </w:trPr>
        <w:tc>
          <w:tcPr>
            <w:tcW w:type="dxa" w:w="2232"/>
            <w:vAlign w:val="center"/>
            <w:shd w:fill="FFFFFF"/>
            <w:tcMar>
              <w:top w:w="75" w:type="dxa"/>
              <w:bottom w:w="75" w:type="dxa"/>
              <w:left w:w="90" w:type="dxa"/>
              <w:right w:w="90" w:type="dxa"/>
            </w:tcMar>
          </w:tcPr>
          <w:p>
            <w:pPr>
              <w:spacing w:after="0" w:line="245" w:lineRule="auto"/>
            </w:pPr>
            <w:r>
              <w:rPr>
                <w:sz w:val="20"/>
              </w:rPr>
              <w:t>Subscription</w:t>
            </w:r>
          </w:p>
        </w:tc>
        <w:tc>
          <w:tcPr>
            <w:tcW w:type="dxa" w:w="3600"/>
            <w:vAlign w:val="center"/>
            <w:shd w:fill="FFFFFF"/>
            <w:tcMar>
              <w:top w:w="75" w:type="dxa"/>
              <w:bottom w:w="75" w:type="dxa"/>
              <w:left w:w="90" w:type="dxa"/>
              <w:right w:w="90" w:type="dxa"/>
            </w:tcMar>
          </w:tcPr>
          <w:p>
            <w:pPr>
              <w:spacing w:after="0" w:line="245" w:lineRule="auto"/>
            </w:pPr>
            <w:r>
              <w:rPr>
                <w:sz w:val="20"/>
              </w:rPr>
              <w:t>50 × $299 = $14950 MRR</w:t>
            </w:r>
          </w:p>
        </w:tc>
        <w:tc>
          <w:tcPr>
            <w:tcW w:type="dxa" w:w="4248"/>
            <w:vAlign w:val="center"/>
            <w:shd w:fill="FFFFFF"/>
            <w:tcMar>
              <w:top w:w="75" w:type="dxa"/>
              <w:bottom w:w="75" w:type="dxa"/>
              <w:left w:w="90" w:type="dxa"/>
              <w:right w:w="90" w:type="dxa"/>
            </w:tcMar>
          </w:tcPr>
          <w:p>
            <w:pPr>
              <w:spacing w:after="0" w:line="245" w:lineRule="auto"/>
            </w:pPr>
            <w:r>
              <w:rPr>
                <w:sz w:val="20"/>
              </w:rPr>
              <w:t>Requires repeat use and a scalable delivery model.</w:t>
            </w:r>
          </w:p>
        </w:tc>
      </w:tr>
      <w:tr>
        <w:trPr>
          <w:cantSplit/>
        </w:trPr>
        <w:tc>
          <w:tcPr>
            <w:tcW w:type="dxa" w:w="2232"/>
            <w:vAlign w:val="center"/>
            <w:shd w:fill="F3F3F3"/>
            <w:tcMar>
              <w:top w:w="75" w:type="dxa"/>
              <w:bottom w:w="75" w:type="dxa"/>
              <w:left w:w="90" w:type="dxa"/>
              <w:right w:w="90" w:type="dxa"/>
            </w:tcMar>
          </w:tcPr>
          <w:p>
            <w:pPr>
              <w:spacing w:after="0" w:line="245" w:lineRule="auto"/>
            </w:pPr>
            <w:r>
              <w:rPr>
                <w:sz w:val="20"/>
              </w:rPr>
              <w:t>Settlement take rate</w:t>
            </w:r>
          </w:p>
        </w:tc>
        <w:tc>
          <w:tcPr>
            <w:tcW w:type="dxa" w:w="3600"/>
            <w:vAlign w:val="center"/>
            <w:shd w:fill="F3F3F3"/>
            <w:tcMar>
              <w:top w:w="75" w:type="dxa"/>
              <w:bottom w:w="75" w:type="dxa"/>
              <w:left w:w="90" w:type="dxa"/>
              <w:right w:w="90" w:type="dxa"/>
            </w:tcMar>
          </w:tcPr>
          <w:p>
            <w:pPr>
              <w:spacing w:after="0" w:line="245" w:lineRule="auto"/>
            </w:pPr>
            <w:r>
              <w:rPr>
                <w:sz w:val="20"/>
              </w:rPr>
              <w:t>0.2% × $1 million = $2000/month</w:t>
            </w:r>
          </w:p>
        </w:tc>
        <w:tc>
          <w:tcPr>
            <w:tcW w:type="dxa" w:w="4248"/>
            <w:vAlign w:val="center"/>
            <w:shd w:fill="F3F3F3"/>
            <w:tcMar>
              <w:top w:w="75" w:type="dxa"/>
              <w:bottom w:w="75" w:type="dxa"/>
              <w:left w:w="90" w:type="dxa"/>
              <w:right w:w="90" w:type="dxa"/>
            </w:tcMar>
          </w:tcPr>
          <w:p>
            <w:pPr>
              <w:spacing w:after="0" w:line="245" w:lineRule="auto"/>
            </w:pPr>
            <w:r>
              <w:rPr>
                <w:sz w:val="20"/>
              </w:rPr>
              <w:t>Requires large volume and adds a reason to bypass the service.</w:t>
            </w:r>
          </w:p>
        </w:tc>
      </w:tr>
      <w:tr>
        <w:trPr>
          <w:cantSplit/>
        </w:trPr>
        <w:tc>
          <w:tcPr>
            <w:tcW w:type="dxa" w:w="2232"/>
            <w:vAlign w:val="center"/>
            <w:shd w:fill="FFFFFF"/>
            <w:tcMar>
              <w:top w:w="75" w:type="dxa"/>
              <w:bottom w:w="75" w:type="dxa"/>
              <w:left w:w="90" w:type="dxa"/>
              <w:right w:w="90" w:type="dxa"/>
            </w:tcMar>
          </w:tcPr>
          <w:p>
            <w:pPr>
              <w:spacing w:after="0" w:line="245" w:lineRule="auto"/>
            </w:pPr>
            <w:r>
              <w:rPr>
                <w:sz w:val="20"/>
              </w:rPr>
              <w:t>Integration services</w:t>
            </w:r>
          </w:p>
        </w:tc>
        <w:tc>
          <w:tcPr>
            <w:tcW w:type="dxa" w:w="3600"/>
            <w:vAlign w:val="center"/>
            <w:shd w:fill="FFFFFF"/>
            <w:tcMar>
              <w:top w:w="75" w:type="dxa"/>
              <w:bottom w:w="75" w:type="dxa"/>
              <w:left w:w="90" w:type="dxa"/>
              <w:right w:w="90" w:type="dxa"/>
            </w:tcMar>
          </w:tcPr>
          <w:p>
            <w:pPr>
              <w:spacing w:after="0" w:line="245" w:lineRule="auto"/>
            </w:pPr>
            <w:r>
              <w:rPr>
                <w:sz w:val="20"/>
              </w:rPr>
              <w:t>2 × $750 pilots = $1500</w:t>
            </w:r>
          </w:p>
        </w:tc>
        <w:tc>
          <w:tcPr>
            <w:tcW w:type="dxa" w:w="4248"/>
            <w:vAlign w:val="center"/>
            <w:shd w:fill="FFFFFF"/>
            <w:tcMar>
              <w:top w:w="75" w:type="dxa"/>
              <w:bottom w:w="75" w:type="dxa"/>
              <w:left w:w="90" w:type="dxa"/>
              <w:right w:w="90" w:type="dxa"/>
            </w:tcMar>
          </w:tcPr>
          <w:p>
            <w:pPr>
              <w:spacing w:after="0" w:line="245" w:lineRule="auto"/>
            </w:pPr>
            <w:r>
              <w:rPr>
                <w:sz w:val="20"/>
              </w:rPr>
              <w:t>Useful early cash and learning; not recurring revenue.</w:t>
            </w:r>
          </w:p>
        </w:tc>
      </w:tr>
    </w:tbl>
    <w:p>
      <w:pPr>
        <w:spacing w:after="0"/>
      </w:pPr>
    </w:p>
    <w:p>
      <w:r>
        <w:t>The scenarios are arithmetic, not forecasts. MRR excludes pilot fees and pass-through network charges. Do not count shielded volume, grant funding, or internal demo transfers as product revenue.</w:t>
      </w:r>
    </w:p>
    <w:p>
      <w:pPr>
        <w:pStyle w:val="Heading2"/>
      </w:pPr>
      <w:r>
        <w:t>A simple contribution model</w:t>
      </w:r>
    </w:p>
    <w:p>
      <w:r>
        <w:t>For a $299 subscription, assume $25 monthly attributable infrastructure cost and 1.5 support hours valued at $30/hour. Contribution is $229, or 76.6%, before acquisition, general overhead, security review, and founder compensation. At six support hours, contribution falls to $94. These are illustrative inputs to replace with observed pilot costs.</w:t>
      </w:r>
    </w:p>
    <w:p>
      <w:r>
        <w:t>With $1000 monthly fixed overhead, the first scenario needs five accounts to cover that overhead. Including another $5000 for team compensation needs 27 accounts. Separately budget security work and setup support; neither becomes free because the founders do it. The early business test is whether customers pay for a repeatable workflow while support hours per customer decline.</w:t>
      </w:r>
    </w:p>
    <w:p>
      <w:r>
        <w:t>If privacy is valuable only for rare, bespoke cases, Erebus may work better as a specialist integration business. If customers repeatedly request the same controls and reconciliation, product revenue becomes more plausible. Neither outcome can be inferred from X engagement.</w:t>
      </w:r>
    </w:p>
    <w:p>
      <w:pPr>
        <w:pStyle w:val="Heading1"/>
        <w:pageBreakBefore/>
      </w:pPr>
      <w:r>
        <w:t>Go to market through specific workflows</w:t>
      </w:r>
    </w:p>
    <w:p>
      <w:r>
        <w:t>Run two discovery lanes without splitting the product roadmap. The primary lane is crypto-native agent operators with actual service payments. The comparison lane is technical teams already making confidential supplier payments without agents. This reveals whether agents create demand or simply provide an interface.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4536"/>
        <w:gridCol w:w="3168"/>
      </w:tblGrid>
      <w:tr>
        <w:trPr>
          <w:cantSplit/>
          <w:tblHeader/>
        </w:trPr>
        <w:tc>
          <w:tcPr>
            <w:tcW w:type="dxa" w:w="2376"/>
            <w:vAlign w:val="center"/>
            <w:shd w:fill="333333"/>
            <w:tcMar>
              <w:top w:w="75" w:type="dxa"/>
              <w:bottom w:w="75" w:type="dxa"/>
              <w:left w:w="90" w:type="dxa"/>
              <w:right w:w="90" w:type="dxa"/>
            </w:tcMar>
          </w:tcPr>
          <w:p>
            <w:pPr>
              <w:spacing w:after="0" w:line="245" w:lineRule="auto"/>
            </w:pPr>
            <w:r>
              <w:rPr>
                <w:b/>
                <w:color w:val="FFFFFF"/>
                <w:sz w:val="20"/>
              </w:rPr>
              <w:t>Source of prospects</w:t>
            </w:r>
          </w:p>
        </w:tc>
        <w:tc>
          <w:tcPr>
            <w:tcW w:type="dxa" w:w="4536"/>
            <w:vAlign w:val="center"/>
            <w:shd w:fill="333333"/>
            <w:tcMar>
              <w:top w:w="75" w:type="dxa"/>
              <w:bottom w:w="75" w:type="dxa"/>
              <w:left w:w="90" w:type="dxa"/>
              <w:right w:w="90" w:type="dxa"/>
            </w:tcMar>
          </w:tcPr>
          <w:p>
            <w:pPr>
              <w:spacing w:after="0" w:line="245" w:lineRule="auto"/>
            </w:pPr>
            <w:r>
              <w:rPr>
                <w:b/>
                <w:color w:val="FFFFFF"/>
                <w:sz w:val="20"/>
              </w:rPr>
              <w:t>What to look for</w:t>
            </w:r>
          </w:p>
        </w:tc>
        <w:tc>
          <w:tcPr>
            <w:tcW w:type="dxa" w:w="3168"/>
            <w:vAlign w:val="center"/>
            <w:shd w:fill="333333"/>
            <w:tcMar>
              <w:top w:w="75" w:type="dxa"/>
              <w:bottom w:w="75" w:type="dxa"/>
              <w:left w:w="90" w:type="dxa"/>
              <w:right w:w="90" w:type="dxa"/>
            </w:tcMar>
          </w:tcPr>
          <w:p>
            <w:pPr>
              <w:spacing w:after="0" w:line="245" w:lineRule="auto"/>
            </w:pPr>
            <w:r>
              <w:rPr>
                <w:b/>
                <w:color w:val="FFFFFF"/>
                <w:sz w:val="20"/>
              </w:rPr>
              <w:t>Proposed next step</w:t>
            </w:r>
          </w:p>
        </w:tc>
      </w:tr>
      <w:tr>
        <w:trPr>
          <w:cantSplit/>
        </w:trPr>
        <w:tc>
          <w:tcPr>
            <w:tcW w:type="dxa" w:w="2376"/>
            <w:vAlign w:val="center"/>
            <w:shd w:fill="FFFFFF"/>
            <w:tcMar>
              <w:top w:w="75" w:type="dxa"/>
              <w:bottom w:w="75" w:type="dxa"/>
              <w:left w:w="90" w:type="dxa"/>
              <w:right w:w="90" w:type="dxa"/>
            </w:tcMar>
          </w:tcPr>
          <w:p>
            <w:pPr>
              <w:spacing w:after="0" w:line="245" w:lineRule="auto"/>
            </w:pPr>
            <w:r>
              <w:rPr>
                <w:sz w:val="20"/>
              </w:rPr>
              <w:t>Existing launch responders</w:t>
            </w:r>
          </w:p>
        </w:tc>
        <w:tc>
          <w:tcPr>
            <w:tcW w:type="dxa" w:w="4536"/>
            <w:vAlign w:val="center"/>
            <w:shd w:fill="FFFFFF"/>
            <w:tcMar>
              <w:top w:w="75" w:type="dxa"/>
              <w:bottom w:w="75" w:type="dxa"/>
              <w:left w:w="90" w:type="dxa"/>
              <w:right w:w="90" w:type="dxa"/>
            </w:tcMar>
          </w:tcPr>
          <w:p>
            <w:pPr>
              <w:spacing w:after="0" w:line="245" w:lineRule="auto"/>
            </w:pPr>
            <w:r>
              <w:rPr>
                <w:sz w:val="20"/>
              </w:rPr>
              <w:t>Specific integration questions or a real payment use case.</w:t>
            </w:r>
          </w:p>
        </w:tc>
        <w:tc>
          <w:tcPr>
            <w:tcW w:type="dxa" w:w="3168"/>
            <w:vAlign w:val="center"/>
            <w:shd w:fill="FFFFFF"/>
            <w:tcMar>
              <w:top w:w="75" w:type="dxa"/>
              <w:bottom w:w="75" w:type="dxa"/>
              <w:left w:w="90" w:type="dxa"/>
              <w:right w:w="90" w:type="dxa"/>
            </w:tcMar>
          </w:tcPr>
          <w:p>
            <w:pPr>
              <w:spacing w:after="0" w:line="245" w:lineRule="auto"/>
            </w:pPr>
            <w:r>
              <w:rPr>
                <w:sz w:val="20"/>
              </w:rPr>
              <w:t>Offer a mock walkthrough and ask about the last payment.</w:t>
            </w:r>
          </w:p>
        </w:tc>
      </w:tr>
      <w:tr>
        <w:trPr>
          <w:cantSplit/>
        </w:trPr>
        <w:tc>
          <w:tcPr>
            <w:tcW w:type="dxa" w:w="2376"/>
            <w:vAlign w:val="center"/>
            <w:shd w:fill="F3F3F3"/>
            <w:tcMar>
              <w:top w:w="75" w:type="dxa"/>
              <w:bottom w:w="75" w:type="dxa"/>
              <w:left w:w="90" w:type="dxa"/>
              <w:right w:w="90" w:type="dxa"/>
            </w:tcMar>
          </w:tcPr>
          <w:p>
            <w:pPr>
              <w:spacing w:after="0" w:line="245" w:lineRule="auto"/>
            </w:pPr>
            <w:r>
              <w:rPr>
                <w:sz w:val="20"/>
              </w:rPr>
              <w:t>Starknet and STRK20 builders</w:t>
            </w:r>
          </w:p>
        </w:tc>
        <w:tc>
          <w:tcPr>
            <w:tcW w:type="dxa" w:w="4536"/>
            <w:vAlign w:val="center"/>
            <w:shd w:fill="F3F3F3"/>
            <w:tcMar>
              <w:top w:w="75" w:type="dxa"/>
              <w:bottom w:w="75" w:type="dxa"/>
              <w:left w:w="90" w:type="dxa"/>
              <w:right w:w="90" w:type="dxa"/>
            </w:tcMar>
          </w:tcPr>
          <w:p>
            <w:pPr>
              <w:spacing w:after="0" w:line="245" w:lineRule="auto"/>
            </w:pPr>
            <w:r>
              <w:rPr>
                <w:sz w:val="20"/>
              </w:rPr>
              <w:t>Teams already accepting the network and its funding model.</w:t>
            </w:r>
          </w:p>
        </w:tc>
        <w:tc>
          <w:tcPr>
            <w:tcW w:type="dxa" w:w="3168"/>
            <w:vAlign w:val="center"/>
            <w:shd w:fill="F3F3F3"/>
            <w:tcMar>
              <w:top w:w="75" w:type="dxa"/>
              <w:bottom w:w="75" w:type="dxa"/>
              <w:left w:w="90" w:type="dxa"/>
              <w:right w:w="90" w:type="dxa"/>
            </w:tcMar>
          </w:tcPr>
          <w:p>
            <w:pPr>
              <w:spacing w:after="0" w:line="245" w:lineRule="auto"/>
            </w:pPr>
            <w:r>
              <w:rPr>
                <w:sz w:val="20"/>
              </w:rPr>
              <w:t>Ask ecosystem contacts for one relevant builder introduction.</w:t>
            </w:r>
          </w:p>
        </w:tc>
      </w:tr>
      <w:tr>
        <w:trPr>
          <w:cantSplit/>
        </w:trPr>
        <w:tc>
          <w:tcPr>
            <w:tcW w:type="dxa" w:w="2376"/>
            <w:vAlign w:val="center"/>
            <w:shd w:fill="FFFFFF"/>
            <w:tcMar>
              <w:top w:w="75" w:type="dxa"/>
              <w:bottom w:w="75" w:type="dxa"/>
              <w:left w:w="90" w:type="dxa"/>
              <w:right w:w="90" w:type="dxa"/>
            </w:tcMar>
          </w:tcPr>
          <w:p>
            <w:pPr>
              <w:spacing w:after="0" w:line="245" w:lineRule="auto"/>
            </w:pPr>
            <w:r>
              <w:rPr>
                <w:sz w:val="20"/>
              </w:rPr>
              <w:t>x402 service sellers and agent operators</w:t>
            </w:r>
          </w:p>
        </w:tc>
        <w:tc>
          <w:tcPr>
            <w:tcW w:type="dxa" w:w="4536"/>
            <w:vAlign w:val="center"/>
            <w:shd w:fill="FFFFFF"/>
            <w:tcMar>
              <w:top w:w="75" w:type="dxa"/>
              <w:bottom w:w="75" w:type="dxa"/>
              <w:left w:w="90" w:type="dxa"/>
              <w:right w:w="90" w:type="dxa"/>
            </w:tcMar>
          </w:tcPr>
          <w:p>
            <w:pPr>
              <w:spacing w:after="0" w:line="245" w:lineRule="auto"/>
            </w:pPr>
            <w:r>
              <w:rPr>
                <w:sz w:val="20"/>
              </w:rPr>
              <w:t>Negotiated packages, recurring settlements, confidentiality needs.</w:t>
            </w:r>
          </w:p>
        </w:tc>
        <w:tc>
          <w:tcPr>
            <w:tcW w:type="dxa" w:w="3168"/>
            <w:vAlign w:val="center"/>
            <w:shd w:fill="FFFFFF"/>
            <w:tcMar>
              <w:top w:w="75" w:type="dxa"/>
              <w:bottom w:w="75" w:type="dxa"/>
              <w:left w:w="90" w:type="dxa"/>
              <w:right w:w="90" w:type="dxa"/>
            </w:tcMar>
          </w:tcPr>
          <w:p>
            <w:pPr>
              <w:spacing w:after="0" w:line="245" w:lineRule="auto"/>
            </w:pPr>
            <w:r>
              <w:rPr>
                <w:sz w:val="20"/>
              </w:rPr>
              <w:t>Learn what the current stack fails to solve; do not claim plug-in compatibility.</w:t>
            </w:r>
          </w:p>
        </w:tc>
      </w:tr>
      <w:tr>
        <w:trPr>
          <w:cantSplit/>
        </w:trPr>
        <w:tc>
          <w:tcPr>
            <w:tcW w:type="dxa" w:w="2376"/>
            <w:vAlign w:val="center"/>
            <w:shd w:fill="F3F3F3"/>
            <w:tcMar>
              <w:top w:w="75" w:type="dxa"/>
              <w:bottom w:w="75" w:type="dxa"/>
              <w:left w:w="90" w:type="dxa"/>
              <w:right w:w="90" w:type="dxa"/>
            </w:tcMar>
          </w:tcPr>
          <w:p>
            <w:pPr>
              <w:spacing w:after="0" w:line="245" w:lineRule="auto"/>
            </w:pPr>
            <w:r>
              <w:rPr>
                <w:sz w:val="20"/>
              </w:rPr>
              <w:t>Crypto finance and operations teams</w:t>
            </w:r>
          </w:p>
        </w:tc>
        <w:tc>
          <w:tcPr>
            <w:tcW w:type="dxa" w:w="4536"/>
            <w:vAlign w:val="center"/>
            <w:shd w:fill="F3F3F3"/>
            <w:tcMar>
              <w:top w:w="75" w:type="dxa"/>
              <w:bottom w:w="75" w:type="dxa"/>
              <w:left w:w="90" w:type="dxa"/>
              <w:right w:w="90" w:type="dxa"/>
            </w:tcMar>
          </w:tcPr>
          <w:p>
            <w:pPr>
              <w:spacing w:after="0" w:line="245" w:lineRule="auto"/>
            </w:pPr>
            <w:r>
              <w:rPr>
                <w:sz w:val="20"/>
              </w:rPr>
              <w:t>Rate confidentiality plus time spent matching invoices to transfers.</w:t>
            </w:r>
          </w:p>
        </w:tc>
        <w:tc>
          <w:tcPr>
            <w:tcW w:type="dxa" w:w="3168"/>
            <w:vAlign w:val="center"/>
            <w:shd w:fill="F3F3F3"/>
            <w:tcMar>
              <w:top w:w="75" w:type="dxa"/>
              <w:bottom w:w="75" w:type="dxa"/>
              <w:left w:w="90" w:type="dxa"/>
              <w:right w:w="90" w:type="dxa"/>
            </w:tcMar>
          </w:tcPr>
          <w:p>
            <w:pPr>
              <w:spacing w:after="0" w:line="245" w:lineRule="auto"/>
            </w:pPr>
            <w:r>
              <w:rPr>
                <w:sz w:val="20"/>
              </w:rPr>
              <w:t>Replay one anonymized invoice-to-payment workflow.</w:t>
            </w:r>
          </w:p>
        </w:tc>
      </w:tr>
      <w:tr>
        <w:trPr>
          <w:cantSplit/>
        </w:trPr>
        <w:tc>
          <w:tcPr>
            <w:tcW w:type="dxa" w:w="2376"/>
            <w:vAlign w:val="center"/>
            <w:shd w:fill="FFFFFF"/>
            <w:tcMar>
              <w:top w:w="75" w:type="dxa"/>
              <w:bottom w:w="75" w:type="dxa"/>
              <w:left w:w="90" w:type="dxa"/>
              <w:right w:w="90" w:type="dxa"/>
            </w:tcMar>
          </w:tcPr>
          <w:p>
            <w:pPr>
              <w:spacing w:after="0" w:line="245" w:lineRule="auto"/>
            </w:pPr>
            <w:r>
              <w:rPr>
                <w:sz w:val="20"/>
              </w:rPr>
              <w:t>MCP framework communities</w:t>
            </w:r>
          </w:p>
        </w:tc>
        <w:tc>
          <w:tcPr>
            <w:tcW w:type="dxa" w:w="4536"/>
            <w:vAlign w:val="center"/>
            <w:shd w:fill="FFFFFF"/>
            <w:tcMar>
              <w:top w:w="75" w:type="dxa"/>
              <w:bottom w:w="75" w:type="dxa"/>
              <w:left w:w="90" w:type="dxa"/>
              <w:right w:w="90" w:type="dxa"/>
            </w:tcMar>
          </w:tcPr>
          <w:p>
            <w:pPr>
              <w:spacing w:after="0" w:line="245" w:lineRule="auto"/>
            </w:pPr>
            <w:r>
              <w:rPr>
                <w:sz w:val="20"/>
              </w:rPr>
              <w:t>Maintainers and developers who can reproduce an integration.</w:t>
            </w:r>
          </w:p>
        </w:tc>
        <w:tc>
          <w:tcPr>
            <w:tcW w:type="dxa" w:w="3168"/>
            <w:vAlign w:val="center"/>
            <w:shd w:fill="FFFFFF"/>
            <w:tcMar>
              <w:top w:w="75" w:type="dxa"/>
              <w:bottom w:w="75" w:type="dxa"/>
              <w:left w:w="90" w:type="dxa"/>
              <w:right w:w="90" w:type="dxa"/>
            </w:tcMar>
          </w:tcPr>
          <w:p>
            <w:pPr>
              <w:spacing w:after="0" w:line="245" w:lineRule="auto"/>
            </w:pPr>
            <w:r>
              <w:rPr>
                <w:sz w:val="20"/>
              </w:rPr>
              <w:t>Contribute one tested example following community rules.</w:t>
            </w:r>
          </w:p>
        </w:tc>
      </w:tr>
    </w:tbl>
    <w:p>
      <w:pPr>
        <w:spacing w:after="0"/>
      </w:pPr>
    </w:p>
    <w:p>
      <w:r>
        <w:t>Starknet’s privacy ecosystem includes wallet and application builders. Treat StarkWare, Starknet Foundation, and their developer channels as possible distribution partners, not buyers or implied endorsers. The public launch reply is an existing relationship signal; proposed introductions, joint demos, or grants are unconfirmed.</w:t>
      </w:r>
      <w:r>
        <w:rPr>
          <w:vertAlign w:val="superscript"/>
        </w:rPr>
        <w:footnoteReference w:id="22"/>
      </w:r>
      <w:r/>
    </w:p>
    <w:p>
      <w:pPr>
        <w:pStyle w:val="Heading2"/>
      </w:pPr>
      <w:r>
        <w:t>An interview that can disprove the idea</w:t>
      </w:r>
    </w:p>
    <w:p>
      <w:r>
        <w:t>Ask: “Walk me through the last payment where public information was a problem. What was exposed? Who cared? What did you do instead? How often does this happen? Which systems do you use? Who signs off on software? If counterparties remain public, does protecting rates still solve anything?” End by asking for a specific next workflow to observe.</w:t>
      </w:r>
    </w:p>
    <w:p>
      <w:r>
        <w:t>Show the limitations before offering a pilot. If the prospect needs bank payouts, invisible counterparties, seconds-level payments, escrow, or a supported chain Erebus does not offer, record a mismatch. Do not turn every rejection into a new feature commitment.</w:t>
      </w:r>
    </w:p>
    <w:p>
      <w:r>
        <w:t>PostHog’s founder account supports starting with known users, observing operation, and checking repeat use before scaling acquisition. It also explicitly distinguishes its VC-funded decision to delay monetization from situations where earlier payment validation is important. Erebus should test willingness to pay early.</w:t>
      </w:r>
      <w:r>
        <w:rPr>
          <w:vertAlign w:val="superscript"/>
        </w:rPr>
        <w:footnoteReference w:id="23"/>
      </w:r>
      <w:r/>
    </w:p>
    <w:p>
      <w:pPr>
        <w:pStyle w:val="Heading1"/>
        <w:pageBreakBefore/>
      </w:pPr>
      <w:r>
        <w:t>The content system</w:t>
      </w:r>
    </w:p>
    <w:p>
      <w:r>
        <w:t>Every post should earn one useful next action: understand a privacy boundary, run the mock, inspect evidence, report a real need, or join a pilot conversation. Maintain a small set of recurring series so readers learn what following Erebus gives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536"/>
        <w:gridCol w:w="3240"/>
      </w:tblGrid>
      <w:tr>
        <w:trPr>
          <w:cantSplit/>
          <w:tblHeader/>
        </w:trPr>
        <w:tc>
          <w:tcPr>
            <w:tcW w:type="dxa" w:w="2304"/>
            <w:vAlign w:val="center"/>
            <w:shd w:fill="333333"/>
            <w:tcMar>
              <w:top w:w="75" w:type="dxa"/>
              <w:bottom w:w="75" w:type="dxa"/>
              <w:left w:w="90" w:type="dxa"/>
              <w:right w:w="90" w:type="dxa"/>
            </w:tcMar>
          </w:tcPr>
          <w:p>
            <w:pPr>
              <w:spacing w:after="0" w:line="245" w:lineRule="auto"/>
            </w:pPr>
            <w:r>
              <w:rPr>
                <w:b/>
                <w:color w:val="FFFFFF"/>
                <w:sz w:val="20"/>
              </w:rPr>
              <w:t>Series</w:t>
            </w:r>
          </w:p>
        </w:tc>
        <w:tc>
          <w:tcPr>
            <w:tcW w:type="dxa" w:w="4536"/>
            <w:vAlign w:val="center"/>
            <w:shd w:fill="333333"/>
            <w:tcMar>
              <w:top w:w="75" w:type="dxa"/>
              <w:bottom w:w="75" w:type="dxa"/>
              <w:left w:w="90" w:type="dxa"/>
              <w:right w:w="90" w:type="dxa"/>
            </w:tcMar>
          </w:tcPr>
          <w:p>
            <w:pPr>
              <w:spacing w:after="0" w:line="245" w:lineRule="auto"/>
            </w:pPr>
            <w:r>
              <w:rPr>
                <w:b/>
                <w:color w:val="FFFFFF"/>
                <w:sz w:val="20"/>
              </w:rPr>
              <w:t>Example</w:t>
            </w:r>
          </w:p>
        </w:tc>
        <w:tc>
          <w:tcPr>
            <w:tcW w:type="dxa" w:w="3240"/>
            <w:vAlign w:val="center"/>
            <w:shd w:fill="333333"/>
            <w:tcMar>
              <w:top w:w="75" w:type="dxa"/>
              <w:bottom w:w="75" w:type="dxa"/>
              <w:left w:w="90" w:type="dxa"/>
              <w:right w:w="90" w:type="dxa"/>
            </w:tcMar>
          </w:tcPr>
          <w:p>
            <w:pPr>
              <w:spacing w:after="0" w:line="245" w:lineRule="auto"/>
            </w:pPr>
            <w:r>
              <w:rPr>
                <w:b/>
                <w:color w:val="FFFFFF"/>
                <w:sz w:val="20"/>
              </w:rPr>
              <w:t>Format and role</w:t>
            </w:r>
          </w:p>
        </w:tc>
      </w:tr>
      <w:tr>
        <w:trPr>
          <w:cantSplit/>
        </w:trPr>
        <w:tc>
          <w:tcPr>
            <w:tcW w:type="dxa" w:w="2304"/>
            <w:vAlign w:val="center"/>
            <w:shd w:fill="FFFFFF"/>
            <w:tcMar>
              <w:top w:w="75" w:type="dxa"/>
              <w:bottom w:w="75" w:type="dxa"/>
              <w:left w:w="90" w:type="dxa"/>
              <w:right w:w="90" w:type="dxa"/>
            </w:tcMar>
          </w:tcPr>
          <w:p>
            <w:pPr>
              <w:spacing w:after="0" w:line="245" w:lineRule="auto"/>
            </w:pPr>
            <w:r>
              <w:rPr>
                <w:sz w:val="20"/>
              </w:rPr>
              <w:t>One deal under the microscope</w:t>
            </w:r>
          </w:p>
        </w:tc>
        <w:tc>
          <w:tcPr>
            <w:tcW w:type="dxa" w:w="4536"/>
            <w:vAlign w:val="center"/>
            <w:shd w:fill="FFFFFF"/>
            <w:tcMar>
              <w:top w:w="75" w:type="dxa"/>
              <w:bottom w:w="75" w:type="dxa"/>
              <w:left w:w="90" w:type="dxa"/>
              <w:right w:w="90" w:type="dxa"/>
            </w:tcMar>
          </w:tcPr>
          <w:p>
            <w:pPr>
              <w:spacing w:after="0" w:line="245" w:lineRule="auto"/>
            </w:pPr>
            <w:r>
              <w:rPr>
                <w:sz w:val="20"/>
              </w:rPr>
              <w:t>Buyer, seller, public observer, and authorized reviewer inspect the same deal.</w:t>
            </w:r>
          </w:p>
        </w:tc>
        <w:tc>
          <w:tcPr>
            <w:tcW w:type="dxa" w:w="3240"/>
            <w:vAlign w:val="center"/>
            <w:shd w:fill="FFFFFF"/>
            <w:tcMar>
              <w:top w:w="75" w:type="dxa"/>
              <w:bottom w:w="75" w:type="dxa"/>
              <w:left w:w="90" w:type="dxa"/>
              <w:right w:w="90" w:type="dxa"/>
            </w:tcMar>
          </w:tcPr>
          <w:p>
            <w:pPr>
              <w:spacing w:after="0" w:line="245" w:lineRule="auto"/>
            </w:pPr>
            <w:r>
              <w:rPr>
                <w:sz w:val="20"/>
              </w:rPr>
              <w:t>30 to 45 second native demo; make the product understandable.</w:t>
            </w:r>
          </w:p>
        </w:tc>
      </w:tr>
      <w:tr>
        <w:trPr>
          <w:cantSplit/>
        </w:trPr>
        <w:tc>
          <w:tcPr>
            <w:tcW w:type="dxa" w:w="2304"/>
            <w:vAlign w:val="center"/>
            <w:shd w:fill="F3F3F3"/>
            <w:tcMar>
              <w:top w:w="75" w:type="dxa"/>
              <w:bottom w:w="75" w:type="dxa"/>
              <w:left w:w="90" w:type="dxa"/>
              <w:right w:w="90" w:type="dxa"/>
            </w:tcMar>
          </w:tcPr>
          <w:p>
            <w:pPr>
              <w:spacing w:after="0" w:line="245" w:lineRule="auto"/>
            </w:pPr>
            <w:r>
              <w:rPr>
                <w:sz w:val="20"/>
              </w:rPr>
              <w:t>What private actually means</w:t>
            </w:r>
          </w:p>
        </w:tc>
        <w:tc>
          <w:tcPr>
            <w:tcW w:type="dxa" w:w="4536"/>
            <w:vAlign w:val="center"/>
            <w:shd w:fill="F3F3F3"/>
            <w:tcMar>
              <w:top w:w="75" w:type="dxa"/>
              <w:bottom w:w="75" w:type="dxa"/>
              <w:left w:w="90" w:type="dxa"/>
              <w:right w:w="90" w:type="dxa"/>
            </w:tcMar>
          </w:tcPr>
          <w:p>
            <w:pPr>
              <w:spacing w:after="0" w:line="245" w:lineRule="auto"/>
            </w:pPr>
            <w:r>
              <w:rPr>
                <w:sz w:val="20"/>
              </w:rPr>
              <w:t>Amounts protected; channel relationship still public.</w:t>
            </w:r>
          </w:p>
        </w:tc>
        <w:tc>
          <w:tcPr>
            <w:tcW w:type="dxa" w:w="3240"/>
            <w:vAlign w:val="center"/>
            <w:shd w:fill="F3F3F3"/>
            <w:tcMar>
              <w:top w:w="75" w:type="dxa"/>
              <w:bottom w:w="75" w:type="dxa"/>
              <w:left w:w="90" w:type="dxa"/>
              <w:right w:w="90" w:type="dxa"/>
            </w:tcMar>
          </w:tcPr>
          <w:p>
            <w:pPr>
              <w:spacing w:after="0" w:line="245" w:lineRule="auto"/>
            </w:pPr>
            <w:r>
              <w:rPr>
                <w:sz w:val="20"/>
              </w:rPr>
              <w:t>One diagram plus short text; build technical trust.</w:t>
            </w:r>
          </w:p>
        </w:tc>
      </w:tr>
      <w:tr>
        <w:trPr>
          <w:cantSplit/>
        </w:trPr>
        <w:tc>
          <w:tcPr>
            <w:tcW w:type="dxa" w:w="2304"/>
            <w:vAlign w:val="center"/>
            <w:shd w:fill="FFFFFF"/>
            <w:tcMar>
              <w:top w:w="75" w:type="dxa"/>
              <w:bottom w:w="75" w:type="dxa"/>
              <w:left w:w="90" w:type="dxa"/>
              <w:right w:w="90" w:type="dxa"/>
            </w:tcMar>
          </w:tcPr>
          <w:p>
            <w:pPr>
              <w:spacing w:after="0" w:line="245" w:lineRule="auto"/>
            </w:pPr>
            <w:r>
              <w:rPr>
                <w:sz w:val="20"/>
              </w:rPr>
              <w:t>Failure and recovery</w:t>
            </w:r>
          </w:p>
        </w:tc>
        <w:tc>
          <w:tcPr>
            <w:tcW w:type="dxa" w:w="4536"/>
            <w:vAlign w:val="center"/>
            <w:shd w:fill="FFFFFF"/>
            <w:tcMar>
              <w:top w:w="75" w:type="dxa"/>
              <w:bottom w:w="75" w:type="dxa"/>
              <w:left w:w="90" w:type="dxa"/>
              <w:right w:w="90" w:type="dxa"/>
            </w:tcMar>
          </w:tcPr>
          <w:p>
            <w:pPr>
              <w:spacing w:after="0" w:line="245" w:lineRule="auto"/>
            </w:pPr>
            <w:r>
              <w:rPr>
                <w:sz w:val="20"/>
              </w:rPr>
              <w:t>A write times out. Reconcile before retrying.</w:t>
            </w:r>
          </w:p>
        </w:tc>
        <w:tc>
          <w:tcPr>
            <w:tcW w:type="dxa" w:w="3240"/>
            <w:vAlign w:val="center"/>
            <w:shd w:fill="FFFFFF"/>
            <w:tcMar>
              <w:top w:w="75" w:type="dxa"/>
              <w:bottom w:w="75" w:type="dxa"/>
              <w:left w:w="90" w:type="dxa"/>
              <w:right w:w="90" w:type="dxa"/>
            </w:tcMar>
          </w:tcPr>
          <w:p>
            <w:pPr>
              <w:spacing w:after="0" w:line="245" w:lineRule="auto"/>
            </w:pPr>
            <w:r>
              <w:rPr>
                <w:sz w:val="20"/>
              </w:rPr>
              <w:t>Screen recording and engineering note; show operational value.</w:t>
            </w:r>
          </w:p>
        </w:tc>
      </w:tr>
      <w:tr>
        <w:trPr>
          <w:cantSplit/>
        </w:trPr>
        <w:tc>
          <w:tcPr>
            <w:tcW w:type="dxa" w:w="2304"/>
            <w:vAlign w:val="center"/>
            <w:shd w:fill="F3F3F3"/>
            <w:tcMar>
              <w:top w:w="75" w:type="dxa"/>
              <w:bottom w:w="75" w:type="dxa"/>
              <w:left w:w="90" w:type="dxa"/>
              <w:right w:w="90" w:type="dxa"/>
            </w:tcMar>
          </w:tcPr>
          <w:p>
            <w:pPr>
              <w:spacing w:after="0" w:line="245" w:lineRule="auto"/>
            </w:pPr>
            <w:r>
              <w:rPr>
                <w:sz w:val="20"/>
              </w:rPr>
              <w:t>Agent behavior lab</w:t>
            </w:r>
          </w:p>
        </w:tc>
        <w:tc>
          <w:tcPr>
            <w:tcW w:type="dxa" w:w="4536"/>
            <w:vAlign w:val="center"/>
            <w:shd w:fill="F3F3F3"/>
            <w:tcMar>
              <w:top w:w="75" w:type="dxa"/>
              <w:bottom w:w="75" w:type="dxa"/>
              <w:left w:w="90" w:type="dxa"/>
              <w:right w:w="90" w:type="dxa"/>
            </w:tcMar>
          </w:tcPr>
          <w:p>
            <w:pPr>
              <w:spacing w:after="0" w:line="245" w:lineRule="auto"/>
            </w:pPr>
            <w:r>
              <w:rPr>
                <w:sz w:val="20"/>
              </w:rPr>
              <w:t>Does an agent still choose confidentiality when it has a fee or delay?</w:t>
            </w:r>
          </w:p>
        </w:tc>
        <w:tc>
          <w:tcPr>
            <w:tcW w:type="dxa" w:w="3240"/>
            <w:vAlign w:val="center"/>
            <w:shd w:fill="F3F3F3"/>
            <w:tcMar>
              <w:top w:w="75" w:type="dxa"/>
              <w:bottom w:w="75" w:type="dxa"/>
              <w:left w:w="90" w:type="dxa"/>
              <w:right w:w="90" w:type="dxa"/>
            </w:tcMar>
          </w:tcPr>
          <w:p>
            <w:pPr>
              <w:spacing w:after="0" w:line="245" w:lineRule="auto"/>
            </w:pPr>
            <w:r>
              <w:rPr>
                <w:sz w:val="20"/>
              </w:rPr>
              <w:t>Experiment and article; create an original, reproducible discussion.</w:t>
            </w:r>
          </w:p>
        </w:tc>
      </w:tr>
      <w:tr>
        <w:trPr>
          <w:cantSplit/>
        </w:trPr>
        <w:tc>
          <w:tcPr>
            <w:tcW w:type="dxa" w:w="2304"/>
            <w:vAlign w:val="center"/>
            <w:shd w:fill="FFFFFF"/>
            <w:tcMar>
              <w:top w:w="75" w:type="dxa"/>
              <w:bottom w:w="75" w:type="dxa"/>
              <w:left w:w="90" w:type="dxa"/>
              <w:right w:w="90" w:type="dxa"/>
            </w:tcMar>
          </w:tcPr>
          <w:p>
            <w:pPr>
              <w:spacing w:after="0" w:line="245" w:lineRule="auto"/>
            </w:pPr>
            <w:r>
              <w:rPr>
                <w:sz w:val="20"/>
              </w:rPr>
              <w:t>Builder notebook</w:t>
            </w:r>
          </w:p>
        </w:tc>
        <w:tc>
          <w:tcPr>
            <w:tcW w:type="dxa" w:w="4536"/>
            <w:vAlign w:val="center"/>
            <w:shd w:fill="FFFFFF"/>
            <w:tcMar>
              <w:top w:w="75" w:type="dxa"/>
              <w:bottom w:w="75" w:type="dxa"/>
              <w:left w:w="90" w:type="dxa"/>
              <w:right w:w="90" w:type="dxa"/>
            </w:tcMar>
          </w:tcPr>
          <w:p>
            <w:pPr>
              <w:spacing w:after="0" w:line="245" w:lineRule="auto"/>
            </w:pPr>
            <w:r>
              <w:rPr>
                <w:sz w:val="20"/>
              </w:rPr>
              <w:t>What blocked an outside developer’s first run, and what changed.</w:t>
            </w:r>
          </w:p>
        </w:tc>
        <w:tc>
          <w:tcPr>
            <w:tcW w:type="dxa" w:w="3240"/>
            <w:vAlign w:val="center"/>
            <w:shd w:fill="FFFFFF"/>
            <w:tcMar>
              <w:top w:w="75" w:type="dxa"/>
              <w:bottom w:w="75" w:type="dxa"/>
              <w:left w:w="90" w:type="dxa"/>
              <w:right w:w="90" w:type="dxa"/>
            </w:tcMar>
          </w:tcPr>
          <w:p>
            <w:pPr>
              <w:spacing w:after="0" w:line="245" w:lineRule="auto"/>
            </w:pPr>
            <w:r>
              <w:rPr>
                <w:sz w:val="20"/>
              </w:rPr>
              <w:t>Founder post; attract capable contributors and integrations.</w:t>
            </w:r>
          </w:p>
        </w:tc>
      </w:tr>
      <w:tr>
        <w:trPr>
          <w:cantSplit/>
        </w:trPr>
        <w:tc>
          <w:tcPr>
            <w:tcW w:type="dxa" w:w="2304"/>
            <w:vAlign w:val="center"/>
            <w:shd w:fill="F3F3F3"/>
            <w:tcMar>
              <w:top w:w="75" w:type="dxa"/>
              <w:bottom w:w="75" w:type="dxa"/>
              <w:left w:w="90" w:type="dxa"/>
              <w:right w:w="90" w:type="dxa"/>
            </w:tcMar>
          </w:tcPr>
          <w:p>
            <w:pPr>
              <w:spacing w:after="0" w:line="245" w:lineRule="auto"/>
            </w:pPr>
            <w:r>
              <w:rPr>
                <w:sz w:val="20"/>
              </w:rPr>
              <w:t>Customer workflow</w:t>
            </w:r>
          </w:p>
        </w:tc>
        <w:tc>
          <w:tcPr>
            <w:tcW w:type="dxa" w:w="4536"/>
            <w:vAlign w:val="center"/>
            <w:shd w:fill="F3F3F3"/>
            <w:tcMar>
              <w:top w:w="75" w:type="dxa"/>
              <w:bottom w:w="75" w:type="dxa"/>
              <w:left w:w="90" w:type="dxa"/>
              <w:right w:w="90" w:type="dxa"/>
            </w:tcMar>
          </w:tcPr>
          <w:p>
            <w:pPr>
              <w:spacing w:after="0" w:line="245" w:lineRule="auto"/>
            </w:pPr>
            <w:r>
              <w:rPr>
                <w:sz w:val="20"/>
              </w:rPr>
              <w:t>A named or permissioned anonymized payment problem and its measured outcome.</w:t>
            </w:r>
          </w:p>
        </w:tc>
        <w:tc>
          <w:tcPr>
            <w:tcW w:type="dxa" w:w="3240"/>
            <w:vAlign w:val="center"/>
            <w:shd w:fill="F3F3F3"/>
            <w:tcMar>
              <w:top w:w="75" w:type="dxa"/>
              <w:bottom w:w="75" w:type="dxa"/>
              <w:left w:w="90" w:type="dxa"/>
              <w:right w:w="90" w:type="dxa"/>
            </w:tcMar>
          </w:tcPr>
          <w:p>
            <w:pPr>
              <w:spacing w:after="0" w:line="245" w:lineRule="auto"/>
            </w:pPr>
            <w:r>
              <w:rPr>
                <w:sz w:val="20"/>
              </w:rPr>
              <w:t>Case study; connect attention to buying intent.</w:t>
            </w:r>
          </w:p>
        </w:tc>
      </w:tr>
    </w:tbl>
    <w:p>
      <w:pPr>
        <w:spacing w:after="0"/>
      </w:pPr>
    </w:p>
    <w:p>
      <w:r>
        <w:t>Start with four substantial original posts per week across the brand account, plus one useful founder perspective and relevant replies. Produce two strong articles during the month, not an essay every day. Repurpose a single verified run into different explanations, with each post adding a distinct point.</w:t>
      </w:r>
    </w:p>
    <w:p>
      <w:r>
        <w:t>Supabase’s historical launch process couples shipping evidence, engineer-written explanations, channel-specific distribution, and retrospectives. Use those principles at Erebus’s scale. Do not copy a large company’s launch cadence or interpret its 2021 experience as proof about X in 2026.</w:t>
      </w:r>
      <w:r>
        <w:rPr>
          <w:vertAlign w:val="superscript"/>
        </w:rPr>
        <w:footnoteReference w:id="24"/>
      </w:r>
      <w:r/>
    </w:p>
    <w:p>
      <w:pPr>
        <w:pStyle w:val="Heading2"/>
      </w:pPr>
      <w:r>
        <w:t>Video and article production</w:t>
      </w:r>
    </w:p>
    <w:p>
      <w:r>
        <w:t>Show the result in the first frame. Use readable crop sizes, captions, and labels for the execution environment. A short clip may be edited from a longer run, but must say when waits are omitted or footage is sped up. Publish the full evidence separately. X’s advertising guidance favors early clarity and captions; this supports a design choice, not a proven organic ranking bonus.</w:t>
      </w:r>
      <w:r>
        <w:rPr>
          <w:vertAlign w:val="superscript"/>
        </w:rPr>
        <w:footnoteReference w:id="25"/>
      </w:r>
      <w:r/>
    </w:p>
    <w:p>
      <w:r>
        <w:t>Publish articles openly on X if the account has access and maintain a durable version alongside the project. Pair each article with a self-contained post explaining its main finding. A reader should get value without opening it. Keep experiments, product facts, and proposed ideas visibly distinct.</w:t>
      </w:r>
    </w:p>
    <w:p>
      <w:pPr>
        <w:pStyle w:val="Heading1"/>
        <w:pageBreakBefore/>
      </w:pPr>
      <w:r>
        <w:t>The agent privacy experiment</w:t>
      </w:r>
    </w:p>
    <w:p>
      <w:r>
        <w:t>“Do agents really want privacy?” is a strong editorial question. “Ten agents chose privacy, therefore agents want Erebus” would be a weak conclusion. Ten runs of one model are not ten independent economic buyers, and a choice can be driven by wording, option order, defaults, or the absence of a meaningful tradeoff.</w:t>
      </w:r>
    </w:p>
    <w:p>
      <w:r>
        <w:t>PrivacyLens finds differences between language-model answers about privacy and their actions in agent tasks. Research also documents sensitivity to answer-option ordering. These motivate measuring executed tool choices and randomizing presentation, rather than treating a verbal preference as demand.</w:t>
      </w:r>
      <w:r>
        <w:rPr>
          <w:vertAlign w:val="superscript"/>
        </w:rPr>
        <w:footnoteReference w:id="26"/>
      </w:r>
      <w:r/>
    </w:p>
    <w:p>
      <w:pPr>
        <w:pStyle w:val="Heading2"/>
      </w:pPr>
      <w:r>
        <w:t>A feasible two-stage design</w:t>
      </w:r>
    </w:p>
    <w:p>
      <w:r>
        <w:t>First run a ten-trial smoke test to verify the harness. Then preregister a modest exploratory study: three named model/version configurations, four task contexts, three cost conditions, two instruction conditions, two randomized tool orders, and five fresh repetitions. That is 720 episodes. If cost is too high, reduce the design before running and publish the reduced plan; never hide trials selectively.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shd w:fill="333333"/>
            <w:tcMar>
              <w:top w:w="75" w:type="dxa"/>
              <w:bottom w:w="75" w:type="dxa"/>
              <w:left w:w="90" w:type="dxa"/>
              <w:right w:w="90" w:type="dxa"/>
            </w:tcMar>
          </w:tcPr>
          <w:p>
            <w:pPr>
              <w:spacing w:after="0" w:line="245" w:lineRule="auto"/>
            </w:pPr>
            <w:r>
              <w:rPr>
                <w:b/>
                <w:color w:val="FFFFFF"/>
                <w:sz w:val="20"/>
              </w:rPr>
              <w:t>Factor</w:t>
            </w:r>
          </w:p>
        </w:tc>
        <w:tc>
          <w:tcPr>
            <w:tcW w:type="dxa" w:w="8064"/>
            <w:vAlign w:val="center"/>
            <w:shd w:fill="333333"/>
            <w:tcMar>
              <w:top w:w="75" w:type="dxa"/>
              <w:bottom w:w="75" w:type="dxa"/>
              <w:left w:w="90" w:type="dxa"/>
              <w:right w:w="90" w:type="dxa"/>
            </w:tcMar>
          </w:tcPr>
          <w:p>
            <w:pPr>
              <w:spacing w:after="0" w:line="245" w:lineRule="auto"/>
            </w:pPr>
            <w:r>
              <w:rPr>
                <w:b/>
                <w:color w:val="FFFFFF"/>
                <w:sz w:val="20"/>
              </w:rPr>
              <w:t>Proposed levels</w:t>
            </w:r>
          </w:p>
        </w:tc>
      </w:tr>
      <w:tr>
        <w:trPr>
          <w:cantSplit/>
        </w:trPr>
        <w:tc>
          <w:tcPr>
            <w:tcW w:type="dxa" w:w="2016"/>
            <w:vAlign w:val="center"/>
            <w:shd w:fill="FFFFFF"/>
            <w:tcMar>
              <w:top w:w="75" w:type="dxa"/>
              <w:bottom w:w="75" w:type="dxa"/>
              <w:left w:w="90" w:type="dxa"/>
              <w:right w:w="90" w:type="dxa"/>
            </w:tcMar>
          </w:tcPr>
          <w:p>
            <w:pPr>
              <w:spacing w:after="0" w:line="245" w:lineRule="auto"/>
            </w:pPr>
            <w:r>
              <w:rPr>
                <w:sz w:val="20"/>
              </w:rPr>
              <w:t>Task context</w:t>
            </w:r>
          </w:p>
        </w:tc>
        <w:tc>
          <w:tcPr>
            <w:tcW w:type="dxa" w:w="8064"/>
            <w:vAlign w:val="center"/>
            <w:shd w:fill="FFFFFF"/>
            <w:tcMar>
              <w:top w:w="75" w:type="dxa"/>
              <w:bottom w:w="75" w:type="dxa"/>
              <w:left w:w="90" w:type="dxa"/>
              <w:right w:w="90" w:type="dxa"/>
            </w:tcMar>
          </w:tcPr>
          <w:p>
            <w:pPr>
              <w:spacing w:after="0" w:line="245" w:lineRule="auto"/>
            </w:pPr>
            <w:r>
              <w:rPr>
                <w:sz w:val="20"/>
              </w:rPr>
              <w:t>Confidential supplier rate; routine public expense; activity that must be publicly reported; sensitive amount but public counterparty allowed.</w:t>
            </w:r>
          </w:p>
        </w:tc>
      </w:tr>
      <w:tr>
        <w:trPr>
          <w:cantSplit/>
        </w:trPr>
        <w:tc>
          <w:tcPr>
            <w:tcW w:type="dxa" w:w="2016"/>
            <w:vAlign w:val="center"/>
            <w:shd w:fill="F3F3F3"/>
            <w:tcMar>
              <w:top w:w="75" w:type="dxa"/>
              <w:bottom w:w="75" w:type="dxa"/>
              <w:left w:w="90" w:type="dxa"/>
              <w:right w:w="90" w:type="dxa"/>
            </w:tcMar>
          </w:tcPr>
          <w:p>
            <w:pPr>
              <w:spacing w:after="0" w:line="245" w:lineRule="auto"/>
            </w:pPr>
            <w:r>
              <w:rPr>
                <w:sz w:val="20"/>
              </w:rPr>
              <w:t>Cost condition</w:t>
            </w:r>
          </w:p>
        </w:tc>
        <w:tc>
          <w:tcPr>
            <w:tcW w:type="dxa" w:w="8064"/>
            <w:vAlign w:val="center"/>
            <w:shd w:fill="F3F3F3"/>
            <w:tcMar>
              <w:top w:w="75" w:type="dxa"/>
              <w:bottom w:w="75" w:type="dxa"/>
              <w:left w:w="90" w:type="dxa"/>
              <w:right w:w="90" w:type="dxa"/>
            </w:tcMar>
          </w:tcPr>
          <w:p>
            <w:pPr>
              <w:spacing w:after="0" w:line="245" w:lineRule="auto"/>
            </w:pPr>
            <w:r>
              <w:rPr>
                <w:sz w:val="20"/>
              </w:rPr>
              <w:t>Equal cost; 1% extra fee; 5% extra fee. These are synthetic treatments, not measured Erebus fees.</w:t>
            </w:r>
          </w:p>
        </w:tc>
      </w:tr>
      <w:tr>
        <w:trPr>
          <w:cantSplit/>
        </w:trPr>
        <w:tc>
          <w:tcPr>
            <w:tcW w:type="dxa" w:w="2016"/>
            <w:vAlign w:val="center"/>
            <w:shd w:fill="FFFFFF"/>
            <w:tcMar>
              <w:top w:w="75" w:type="dxa"/>
              <w:bottom w:w="75" w:type="dxa"/>
              <w:left w:w="90" w:type="dxa"/>
              <w:right w:w="90" w:type="dxa"/>
            </w:tcMar>
          </w:tcPr>
          <w:p>
            <w:pPr>
              <w:spacing w:after="0" w:line="245" w:lineRule="auto"/>
            </w:pPr>
            <w:r>
              <w:rPr>
                <w:sz w:val="20"/>
              </w:rPr>
              <w:t>Instruction</w:t>
            </w:r>
          </w:p>
        </w:tc>
        <w:tc>
          <w:tcPr>
            <w:tcW w:type="dxa" w:w="8064"/>
            <w:vAlign w:val="center"/>
            <w:shd w:fill="FFFFFF"/>
            <w:tcMar>
              <w:top w:w="75" w:type="dxa"/>
              <w:bottom w:w="75" w:type="dxa"/>
              <w:left w:w="90" w:type="dxa"/>
              <w:right w:w="90" w:type="dxa"/>
            </w:tcMar>
          </w:tcPr>
          <w:p>
            <w:pPr>
              <w:spacing w:after="0" w:line="245" w:lineRule="auto"/>
            </w:pPr>
            <w:r>
              <w:rPr>
                <w:sz w:val="20"/>
              </w:rPr>
              <w:t>Neutral task objective; explicit principal requirement for confidentiality.</w:t>
            </w:r>
          </w:p>
        </w:tc>
      </w:tr>
      <w:tr>
        <w:trPr>
          <w:cantSplit/>
        </w:trPr>
        <w:tc>
          <w:tcPr>
            <w:tcW w:type="dxa" w:w="2016"/>
            <w:vAlign w:val="center"/>
            <w:shd w:fill="F3F3F3"/>
            <w:tcMar>
              <w:top w:w="75" w:type="dxa"/>
              <w:bottom w:w="75" w:type="dxa"/>
              <w:left w:w="90" w:type="dxa"/>
              <w:right w:w="90" w:type="dxa"/>
            </w:tcMar>
          </w:tcPr>
          <w:p>
            <w:pPr>
              <w:spacing w:after="0" w:line="245" w:lineRule="auto"/>
            </w:pPr>
            <w:r>
              <w:rPr>
                <w:sz w:val="20"/>
              </w:rPr>
              <w:t>Tool presentation</w:t>
            </w:r>
          </w:p>
        </w:tc>
        <w:tc>
          <w:tcPr>
            <w:tcW w:type="dxa" w:w="8064"/>
            <w:vAlign w:val="center"/>
            <w:shd w:fill="F3F3F3"/>
            <w:tcMar>
              <w:top w:w="75" w:type="dxa"/>
              <w:bottom w:w="75" w:type="dxa"/>
              <w:left w:w="90" w:type="dxa"/>
              <w:right w:w="90" w:type="dxa"/>
            </w:tcMar>
          </w:tcPr>
          <w:p>
            <w:pPr>
              <w:spacing w:after="0" w:line="245" w:lineRule="auto"/>
            </w:pPr>
            <w:r>
              <w:rPr>
                <w:sz w:val="20"/>
              </w:rPr>
              <w:t>Neutral A/B names; randomized order; equal functionality and balanced descriptions.</w:t>
            </w:r>
          </w:p>
        </w:tc>
      </w:tr>
      <w:tr>
        <w:trPr>
          <w:cantSplit/>
        </w:trPr>
        <w:tc>
          <w:tcPr>
            <w:tcW w:type="dxa" w:w="2016"/>
            <w:vAlign w:val="center"/>
            <w:shd w:fill="FFFFFF"/>
            <w:tcMar>
              <w:top w:w="75" w:type="dxa"/>
              <w:bottom w:w="75" w:type="dxa"/>
              <w:left w:w="90" w:type="dxa"/>
              <w:right w:w="90" w:type="dxa"/>
            </w:tcMar>
          </w:tcPr>
          <w:p>
            <w:pPr>
              <w:spacing w:after="0" w:line="245" w:lineRule="auto"/>
            </w:pPr>
            <w:r>
              <w:rPr>
                <w:sz w:val="20"/>
              </w:rPr>
              <w:t>Outcome</w:t>
            </w:r>
          </w:p>
        </w:tc>
        <w:tc>
          <w:tcPr>
            <w:tcW w:type="dxa" w:w="8064"/>
            <w:vAlign w:val="center"/>
            <w:shd w:fill="FFFFFF"/>
            <w:tcMar>
              <w:top w:w="75" w:type="dxa"/>
              <w:bottom w:w="75" w:type="dxa"/>
              <w:left w:w="90" w:type="dxa"/>
              <w:right w:w="90" w:type="dxa"/>
            </w:tcMar>
          </w:tcPr>
          <w:p>
            <w:pPr>
              <w:spacing w:after="0" w:line="245" w:lineRule="auto"/>
            </w:pPr>
            <w:r>
              <w:rPr>
                <w:sz w:val="20"/>
              </w:rPr>
              <w:t>Actual selected tool, successful completion, policy violation, abstention, total cost, and latency.</w:t>
            </w:r>
          </w:p>
        </w:tc>
      </w:tr>
    </w:tbl>
    <w:p>
      <w:pPr>
        <w:spacing w:after="0"/>
      </w:pPr>
    </w:p>
    <w:p>
      <w:r>
        <w:t>Use the actual boundary in the confidential option: terms and amount protected from public observers, relationship and timing public, infrastructure trust specified. Compare an equivalent public option with the same network assumptions. Keep the general decision study in a simulator, then separately show that the chosen confidential action can be executed through Erebus in a controlled test.</w:t>
      </w:r>
    </w:p>
    <w:p>
      <w:r>
        <w:t>Record model IDs, prompts, tool schemas, sampling settings, input cases, failures, and raw tool outputs. Treat within-model repetitions as dependent evidence about that configuration, not independent models. Report per-model results and denominators; label any interval’s assumptions. Separate intent to choose a tool from successful execution.</w:t>
      </w:r>
    </w:p>
    <w:p>
      <w:r>
        <w:t>A publishable conclusion might be: “Under these tasks and costs, these model configurations selected the confidential route in X of Y episodes.” Null results, instruction dependence, and price sensitivity are useful findings. Do not publish a result-shaped teaser until the result exists.</w:t>
      </w:r>
    </w:p>
    <w:p>
      <w:pPr>
        <w:pStyle w:val="Heading1"/>
        <w:pageBreakBefore/>
      </w:pPr>
      <w:r>
        <w:t>Article plan and follow-up experiments</w:t>
      </w:r>
    </w:p>
    <w:p>
      <w:pPr>
        <w:pStyle w:val="Heading2"/>
      </w:pPr>
      <w:r>
        <w:t>Do agents really want privacy</w:t>
      </w:r>
    </w:p>
    <w:p>
      <w:r>
        <w:t>Open with a concrete decision: an agent is about to pay a known supplier. The price is commercially sensitive, while the relationship is already known. What happens when confidential settlement costs more? Explain why an agent’s selection is meaningful for tooling but insufficient to establish a market.</w:t>
      </w:r>
    </w:p>
    <w:p>
      <w:r>
        <w:t>Structure the article in six parts: the decision; exact privacy boundaries; preregistered method; results by model and scenario; failure cases and cost sensitivity; implications for operator controls and product demand. Include the public-reporting task, abstentions, and cases where the public route is correct. End with a runnable harness and a request for real customer scenarios.</w:t>
      </w:r>
    </w:p>
    <w:p>
      <w:r>
        <w:t>Keep the title as a question. A more specific result headline can be chosen after the study: “Agents selected confidentiality at equal cost. Here is what changed when it cost more.” Use that only if the data actually support it. Avoid consciousness or inherent preference claims.</w:t>
      </w:r>
    </w:p>
    <w:p>
      <w:pPr>
        <w:pStyle w:val="Heading2"/>
      </w:pPr>
      <w:r>
        <w:t>Other original pieces worth testing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960"/>
        <w:gridCol w:w="3240"/>
      </w:tblGrid>
      <w:tr>
        <w:trPr>
          <w:cantSplit/>
          <w:tblHeader/>
        </w:trPr>
        <w:tc>
          <w:tcPr>
            <w:tcW w:type="dxa" w:w="2880"/>
            <w:vAlign w:val="center"/>
            <w:shd w:fill="333333"/>
            <w:tcMar>
              <w:top w:w="75" w:type="dxa"/>
              <w:bottom w:w="75" w:type="dxa"/>
              <w:left w:w="90" w:type="dxa"/>
              <w:right w:w="90" w:type="dxa"/>
            </w:tcMar>
          </w:tcPr>
          <w:p>
            <w:pPr>
              <w:spacing w:after="0" w:line="245" w:lineRule="auto"/>
            </w:pPr>
            <w:r>
              <w:rPr>
                <w:b/>
                <w:color w:val="FFFFFF"/>
                <w:sz w:val="20"/>
              </w:rPr>
              <w:t>Concept</w:t>
            </w:r>
          </w:p>
        </w:tc>
        <w:tc>
          <w:tcPr>
            <w:tcW w:type="dxa" w:w="3960"/>
            <w:vAlign w:val="center"/>
            <w:shd w:fill="333333"/>
            <w:tcMar>
              <w:top w:w="75" w:type="dxa"/>
              <w:bottom w:w="75" w:type="dxa"/>
              <w:left w:w="90" w:type="dxa"/>
              <w:right w:w="90" w:type="dxa"/>
            </w:tcMar>
          </w:tcPr>
          <w:p>
            <w:pPr>
              <w:spacing w:after="0" w:line="245" w:lineRule="auto"/>
            </w:pPr>
            <w:r>
              <w:rPr>
                <w:b/>
                <w:color w:val="FFFFFF"/>
                <w:sz w:val="20"/>
              </w:rPr>
              <w:t>Credible test</w:t>
            </w:r>
          </w:p>
        </w:tc>
        <w:tc>
          <w:tcPr>
            <w:tcW w:type="dxa" w:w="3240"/>
            <w:vAlign w:val="center"/>
            <w:shd w:fill="333333"/>
            <w:tcMar>
              <w:top w:w="75" w:type="dxa"/>
              <w:bottom w:w="75" w:type="dxa"/>
              <w:left w:w="90" w:type="dxa"/>
              <w:right w:w="90" w:type="dxa"/>
            </w:tcMar>
          </w:tcPr>
          <w:p>
            <w:pPr>
              <w:spacing w:after="0" w:line="245" w:lineRule="auto"/>
            </w:pPr>
            <w:r>
              <w:rPr>
                <w:b/>
                <w:color w:val="FFFFFF"/>
                <w:sz w:val="20"/>
              </w:rPr>
              <w:t>Product learning</w:t>
            </w:r>
          </w:p>
        </w:tc>
      </w:tr>
      <w:tr>
        <w:trPr>
          <w:cantSplit/>
        </w:trPr>
        <w:tc>
          <w:tcPr>
            <w:tcW w:type="dxa" w:w="2880"/>
            <w:vAlign w:val="center"/>
            <w:shd w:fill="FFFFFF"/>
            <w:tcMar>
              <w:top w:w="75" w:type="dxa"/>
              <w:bottom w:w="75" w:type="dxa"/>
              <w:left w:w="90" w:type="dxa"/>
              <w:right w:w="90" w:type="dxa"/>
            </w:tcMar>
          </w:tcPr>
          <w:p>
            <w:pPr>
              <w:spacing w:after="0" w:line="245" w:lineRule="auto"/>
            </w:pPr>
            <w:r>
              <w:rPr>
                <w:sz w:val="20"/>
              </w:rPr>
              <w:t>Would you expose a negotiated supplier rate</w:t>
            </w:r>
          </w:p>
        </w:tc>
        <w:tc>
          <w:tcPr>
            <w:tcW w:type="dxa" w:w="3960"/>
            <w:vAlign w:val="center"/>
            <w:shd w:fill="FFFFFF"/>
            <w:tcMar>
              <w:top w:w="75" w:type="dxa"/>
              <w:bottom w:w="75" w:type="dxa"/>
              <w:left w:w="90" w:type="dxa"/>
              <w:right w:w="90" w:type="dxa"/>
            </w:tcMar>
          </w:tcPr>
          <w:p>
            <w:pPr>
              <w:spacing w:after="0" w:line="245" w:lineRule="auto"/>
            </w:pPr>
            <w:r>
              <w:rPr>
                <w:sz w:val="20"/>
              </w:rPr>
              <w:t>Fictional public-payment example alongside authorized private review.</w:t>
            </w:r>
          </w:p>
        </w:tc>
        <w:tc>
          <w:tcPr>
            <w:tcW w:type="dxa" w:w="3240"/>
            <w:vAlign w:val="center"/>
            <w:shd w:fill="FFFFFF"/>
            <w:tcMar>
              <w:top w:w="75" w:type="dxa"/>
              <w:bottom w:w="75" w:type="dxa"/>
              <w:left w:w="90" w:type="dxa"/>
              <w:right w:w="90" w:type="dxa"/>
            </w:tcMar>
          </w:tcPr>
          <w:p>
            <w:pPr>
              <w:spacing w:after="0" w:line="245" w:lineRule="auto"/>
            </w:pPr>
            <w:r>
              <w:rPr>
                <w:sz w:val="20"/>
              </w:rPr>
              <w:t>Does this problem resonate with operators, not just privacy enthusiasts?</w:t>
            </w:r>
          </w:p>
        </w:tc>
      </w:tr>
      <w:tr>
        <w:trPr>
          <w:cantSplit/>
        </w:trPr>
        <w:tc>
          <w:tcPr>
            <w:tcW w:type="dxa" w:w="2880"/>
            <w:vAlign w:val="center"/>
            <w:shd w:fill="F3F3F3"/>
            <w:tcMar>
              <w:top w:w="75" w:type="dxa"/>
              <w:bottom w:w="75" w:type="dxa"/>
              <w:left w:w="90" w:type="dxa"/>
              <w:right w:w="90" w:type="dxa"/>
            </w:tcMar>
          </w:tcPr>
          <w:p>
            <w:pPr>
              <w:spacing w:after="0" w:line="245" w:lineRule="auto"/>
            </w:pPr>
            <w:r>
              <w:rPr>
                <w:sz w:val="20"/>
              </w:rPr>
              <w:t>Can an agent overspend its mandate</w:t>
            </w:r>
          </w:p>
        </w:tc>
        <w:tc>
          <w:tcPr>
            <w:tcW w:type="dxa" w:w="3960"/>
            <w:vAlign w:val="center"/>
            <w:shd w:fill="F3F3F3"/>
            <w:tcMar>
              <w:top w:w="75" w:type="dxa"/>
              <w:bottom w:w="75" w:type="dxa"/>
              <w:left w:w="90" w:type="dxa"/>
              <w:right w:w="90" w:type="dxa"/>
            </w:tcMar>
          </w:tcPr>
          <w:p>
            <w:pPr>
              <w:spacing w:after="0" w:line="245" w:lineRule="auto"/>
            </w:pPr>
            <w:r>
              <w:rPr>
                <w:sz w:val="20"/>
              </w:rPr>
              <w:t>Attempt over-budget actions in a sandbox with deterministic enforcement.</w:t>
            </w:r>
          </w:p>
        </w:tc>
        <w:tc>
          <w:tcPr>
            <w:tcW w:type="dxa" w:w="3240"/>
            <w:vAlign w:val="center"/>
            <w:shd w:fill="F3F3F3"/>
            <w:tcMar>
              <w:top w:w="75" w:type="dxa"/>
              <w:bottom w:w="75" w:type="dxa"/>
              <w:left w:w="90" w:type="dxa"/>
              <w:right w:w="90" w:type="dxa"/>
            </w:tcMar>
          </w:tcPr>
          <w:p>
            <w:pPr>
              <w:spacing w:after="0" w:line="245" w:lineRule="auto"/>
            </w:pPr>
            <w:r>
              <w:rPr>
                <w:sz w:val="20"/>
              </w:rPr>
              <w:t>Which controls buyers consider necessary.</w:t>
            </w:r>
          </w:p>
        </w:tc>
      </w:tr>
      <w:tr>
        <w:trPr>
          <w:cantSplit/>
        </w:trPr>
        <w:tc>
          <w:tcPr>
            <w:tcW w:type="dxa" w:w="2880"/>
            <w:vAlign w:val="center"/>
            <w:shd w:fill="FFFFFF"/>
            <w:tcMar>
              <w:top w:w="75" w:type="dxa"/>
              <w:bottom w:w="75" w:type="dxa"/>
              <w:left w:w="90" w:type="dxa"/>
              <w:right w:w="90" w:type="dxa"/>
            </w:tcMar>
          </w:tcPr>
          <w:p>
            <w:pPr>
              <w:spacing w:after="0" w:line="245" w:lineRule="auto"/>
            </w:pPr>
            <w:r>
              <w:rPr>
                <w:sz w:val="20"/>
              </w:rPr>
              <w:t>One transaction timed out</w:t>
            </w:r>
          </w:p>
        </w:tc>
        <w:tc>
          <w:tcPr>
            <w:tcW w:type="dxa" w:w="3960"/>
            <w:vAlign w:val="center"/>
            <w:shd w:fill="FFFFFF"/>
            <w:tcMar>
              <w:top w:w="75" w:type="dxa"/>
              <w:bottom w:w="75" w:type="dxa"/>
              <w:left w:w="90" w:type="dxa"/>
              <w:right w:w="90" w:type="dxa"/>
            </w:tcMar>
          </w:tcPr>
          <w:p>
            <w:pPr>
              <w:spacing w:after="0" w:line="245" w:lineRule="auto"/>
            </w:pPr>
            <w:r>
              <w:rPr>
                <w:sz w:val="20"/>
              </w:rPr>
              <w:t>Show uncertain outcome, reconciliation, and permitted recovery.</w:t>
            </w:r>
          </w:p>
        </w:tc>
        <w:tc>
          <w:tcPr>
            <w:tcW w:type="dxa" w:w="3240"/>
            <w:vAlign w:val="center"/>
            <w:shd w:fill="FFFFFF"/>
            <w:tcMar>
              <w:top w:w="75" w:type="dxa"/>
              <w:bottom w:w="75" w:type="dxa"/>
              <w:left w:w="90" w:type="dxa"/>
              <w:right w:w="90" w:type="dxa"/>
            </w:tcMar>
          </w:tcPr>
          <w:p>
            <w:pPr>
              <w:spacing w:after="0" w:line="245" w:lineRule="auto"/>
            </w:pPr>
            <w:r>
              <w:rPr>
                <w:sz w:val="20"/>
              </w:rPr>
              <w:t>Whether operational reliability is a purchase reason.</w:t>
            </w:r>
          </w:p>
        </w:tc>
      </w:tr>
      <w:tr>
        <w:trPr>
          <w:cantSplit/>
        </w:trPr>
        <w:tc>
          <w:tcPr>
            <w:tcW w:type="dxa" w:w="2880"/>
            <w:vAlign w:val="center"/>
            <w:shd w:fill="F3F3F3"/>
            <w:tcMar>
              <w:top w:w="75" w:type="dxa"/>
              <w:bottom w:w="75" w:type="dxa"/>
              <w:left w:w="90" w:type="dxa"/>
              <w:right w:w="90" w:type="dxa"/>
            </w:tcMar>
          </w:tcPr>
          <w:p>
            <w:pPr>
              <w:spacing w:after="0" w:line="245" w:lineRule="auto"/>
            </w:pPr>
            <w:r>
              <w:rPr>
                <w:sz w:val="20"/>
              </w:rPr>
              <w:t>One grant across three deals</w:t>
            </w:r>
          </w:p>
        </w:tc>
        <w:tc>
          <w:tcPr>
            <w:tcW w:type="dxa" w:w="3960"/>
            <w:vAlign w:val="center"/>
            <w:shd w:fill="F3F3F3"/>
            <w:tcMar>
              <w:top w:w="75" w:type="dxa"/>
              <w:bottom w:w="75" w:type="dxa"/>
              <w:left w:w="90" w:type="dxa"/>
              <w:right w:w="90" w:type="dxa"/>
            </w:tcMar>
          </w:tcPr>
          <w:p>
            <w:pPr>
              <w:spacing w:after="0" w:line="245" w:lineRule="auto"/>
            </w:pPr>
            <w:r>
              <w:rPr>
                <w:sz w:val="20"/>
              </w:rPr>
              <w:t>Demonstrate one authorized deal with other deals outside scope.</w:t>
            </w:r>
          </w:p>
        </w:tc>
        <w:tc>
          <w:tcPr>
            <w:tcW w:type="dxa" w:w="3240"/>
            <w:vAlign w:val="center"/>
            <w:shd w:fill="F3F3F3"/>
            <w:tcMar>
              <w:top w:w="75" w:type="dxa"/>
              <w:bottom w:w="75" w:type="dxa"/>
              <w:left w:w="90" w:type="dxa"/>
              <w:right w:w="90" w:type="dxa"/>
            </w:tcMar>
          </w:tcPr>
          <w:p>
            <w:pPr>
              <w:spacing w:after="0" w:line="245" w:lineRule="auto"/>
            </w:pPr>
            <w:r>
              <w:rPr>
                <w:sz w:val="20"/>
              </w:rPr>
              <w:t>Whether scoped access helps accounting or dispute review.</w:t>
            </w:r>
          </w:p>
        </w:tc>
      </w:tr>
      <w:tr>
        <w:trPr>
          <w:cantSplit/>
        </w:trPr>
        <w:tc>
          <w:tcPr>
            <w:tcW w:type="dxa" w:w="2880"/>
            <w:vAlign w:val="center"/>
            <w:shd w:fill="FFFFFF"/>
            <w:tcMar>
              <w:top w:w="75" w:type="dxa"/>
              <w:bottom w:w="75" w:type="dxa"/>
              <w:left w:w="90" w:type="dxa"/>
              <w:right w:w="90" w:type="dxa"/>
            </w:tcMar>
          </w:tcPr>
          <w:p>
            <w:pPr>
              <w:spacing w:after="0" w:line="245" w:lineRule="auto"/>
            </w:pPr>
            <w:r>
              <w:rPr>
                <w:sz w:val="20"/>
              </w:rPr>
              <w:t>Private negotiation has a cost</w:t>
            </w:r>
          </w:p>
        </w:tc>
        <w:tc>
          <w:tcPr>
            <w:tcW w:type="dxa" w:w="3960"/>
            <w:vAlign w:val="center"/>
            <w:shd w:fill="FFFFFF"/>
            <w:tcMar>
              <w:top w:w="75" w:type="dxa"/>
              <w:bottom w:w="75" w:type="dxa"/>
              <w:left w:w="90" w:type="dxa"/>
              <w:right w:w="90" w:type="dxa"/>
            </w:tcMar>
          </w:tcPr>
          <w:p>
            <w:pPr>
              <w:spacing w:after="0" w:line="245" w:lineRule="auto"/>
            </w:pPr>
            <w:r>
              <w:rPr>
                <w:sz w:val="20"/>
              </w:rPr>
              <w:t>Separate setup, rounds, settlement, and funding expenses.</w:t>
            </w:r>
          </w:p>
        </w:tc>
        <w:tc>
          <w:tcPr>
            <w:tcW w:type="dxa" w:w="3240"/>
            <w:vAlign w:val="center"/>
            <w:shd w:fill="FFFFFF"/>
            <w:tcMar>
              <w:top w:w="75" w:type="dxa"/>
              <w:bottom w:w="75" w:type="dxa"/>
              <w:left w:w="90" w:type="dxa"/>
              <w:right w:w="90" w:type="dxa"/>
            </w:tcMar>
          </w:tcPr>
          <w:p>
            <w:pPr>
              <w:spacing w:after="0" w:line="245" w:lineRule="auto"/>
            </w:pPr>
            <w:r>
              <w:rPr>
                <w:sz w:val="20"/>
              </w:rPr>
              <w:t>Which workflows have enough value and latency tolerance.</w:t>
            </w:r>
          </w:p>
        </w:tc>
      </w:tr>
      <w:tr>
        <w:trPr>
          <w:cantSplit/>
        </w:trPr>
        <w:tc>
          <w:tcPr>
            <w:tcW w:type="dxa" w:w="2880"/>
            <w:vAlign w:val="center"/>
            <w:shd w:fill="F3F3F3"/>
            <w:tcMar>
              <w:top w:w="75" w:type="dxa"/>
              <w:bottom w:w="75" w:type="dxa"/>
              <w:left w:w="90" w:type="dxa"/>
              <w:right w:w="90" w:type="dxa"/>
            </w:tcMar>
          </w:tcPr>
          <w:p>
            <w:pPr>
              <w:spacing w:after="0" w:line="245" w:lineRule="auto"/>
            </w:pPr>
            <w:r>
              <w:rPr>
                <w:sz w:val="20"/>
              </w:rPr>
              <w:t>Our first outside installation</w:t>
            </w:r>
          </w:p>
        </w:tc>
        <w:tc>
          <w:tcPr>
            <w:tcW w:type="dxa" w:w="3960"/>
            <w:vAlign w:val="center"/>
            <w:shd w:fill="F3F3F3"/>
            <w:tcMar>
              <w:top w:w="75" w:type="dxa"/>
              <w:bottom w:w="75" w:type="dxa"/>
              <w:left w:w="90" w:type="dxa"/>
              <w:right w:w="90" w:type="dxa"/>
            </w:tcMar>
          </w:tcPr>
          <w:p>
            <w:pPr>
              <w:spacing w:after="0" w:line="245" w:lineRule="auto"/>
            </w:pPr>
            <w:r>
              <w:rPr>
                <w:sz w:val="20"/>
              </w:rPr>
              <w:t>Record a consenting builder’s first attempt and resulting fixes.</w:t>
            </w:r>
          </w:p>
        </w:tc>
        <w:tc>
          <w:tcPr>
            <w:tcW w:type="dxa" w:w="3240"/>
            <w:vAlign w:val="center"/>
            <w:shd w:fill="F3F3F3"/>
            <w:tcMar>
              <w:top w:w="75" w:type="dxa"/>
              <w:bottom w:w="75" w:type="dxa"/>
              <w:left w:w="90" w:type="dxa"/>
              <w:right w:w="90" w:type="dxa"/>
            </w:tcMar>
          </w:tcPr>
          <w:p>
            <w:pPr>
              <w:spacing w:after="0" w:line="245" w:lineRule="auto"/>
            </w:pPr>
            <w:r>
              <w:rPr>
                <w:sz w:val="20"/>
              </w:rPr>
              <w:t>Whether the quickstart is genuinely self-serve.</w:t>
            </w:r>
          </w:p>
        </w:tc>
      </w:tr>
    </w:tbl>
    <w:p>
      <w:pPr>
        <w:spacing w:after="0"/>
      </w:pPr>
    </w:p>
    <w:p>
      <w:r>
        <w:t>Avoid inviting the community to attack live counterparties or identify private actors. Use published fixtures, synthetic examples, or operator-owned test records. If demonstrating an observer attack, state what access it has and what the result does not establish. A failed toy attack is not a security audit.</w:t>
      </w:r>
    </w:p>
    <w:p>
      <w:r>
        <w:t>The best reusable campaign is “one deal, four views”: operator, counterparty, public observer, and authorized reviewer. It teaches the privacy boundary visually, provides several distinct posts, and naturally leads to a developer walkthrough without inventing demand.</w:t>
      </w:r>
    </w:p>
    <w:p>
      <w:pPr>
        <w:pStyle w:val="Heading1"/>
        <w:pageBreakBefore/>
      </w:pPr>
      <w:r>
        <w:t>Distribution and measurement</w:t>
      </w:r>
    </w:p>
    <w:p>
      <w:r>
        <w:t>Publish when someone on the team can answer substantive questions. Start by alternating 14:00 UTC and 17:00 UTC, which are 19:30 and 22:30 in India. These are practical Europe/US overlap hypotheses, not evidence of a universal best time. Use the first two weeks to learn which audience actually responds.</w:t>
      </w:r>
    </w:p>
    <w:p>
      <w:r>
        <w:t>Before a major post, prepare the asset, reproducible evidence, one CTA, and a useful reply answering the likely objection. After publication, answer real questions in two short sessions rather than compulsively monitoring likes. Return at 24 and 72 hours to record outcomes. Supporters can share their own reason the work matters; avoid copied replies and timed engagement exchanges.</w:t>
      </w:r>
    </w:p>
    <w:p>
      <w:r>
        <w:t>A code comment says direct-navigation actions, such as those driven by groupchat links, do not count as Home Timeline recommendation signals. That does not erase the ordinary value of a person sharing useful work with their audience. It does mean that coordinated likes on a link should not be treated as a ranking strategy.</w:t>
      </w:r>
      <w:r>
        <w:rPr>
          <w:vertAlign w:val="superscript"/>
        </w:rPr>
        <w:footnoteReference w:id="27"/>
      </w: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680"/>
        <w:gridCol w:w="3816"/>
      </w:tblGrid>
      <w:tr>
        <w:trPr>
          <w:cantSplit/>
          <w:tblHeader/>
        </w:trPr>
        <w:tc>
          <w:tcPr>
            <w:tcW w:type="dxa" w:w="1584"/>
            <w:vAlign w:val="center"/>
            <w:shd w:fill="333333"/>
            <w:tcMar>
              <w:top w:w="75" w:type="dxa"/>
              <w:bottom w:w="75" w:type="dxa"/>
              <w:left w:w="90" w:type="dxa"/>
              <w:right w:w="90" w:type="dxa"/>
            </w:tcMar>
          </w:tcPr>
          <w:p>
            <w:pPr>
              <w:spacing w:after="0" w:line="245" w:lineRule="auto"/>
            </w:pPr>
            <w:r>
              <w:rPr>
                <w:b/>
                <w:color w:val="FFFFFF"/>
                <w:sz w:val="20"/>
              </w:rPr>
              <w:t>Layer</w:t>
            </w:r>
          </w:p>
        </w:tc>
        <w:tc>
          <w:tcPr>
            <w:tcW w:type="dxa" w:w="4680"/>
            <w:vAlign w:val="center"/>
            <w:shd w:fill="333333"/>
            <w:tcMar>
              <w:top w:w="75" w:type="dxa"/>
              <w:bottom w:w="75" w:type="dxa"/>
              <w:left w:w="90" w:type="dxa"/>
              <w:right w:w="90" w:type="dxa"/>
            </w:tcMar>
          </w:tcPr>
          <w:p>
            <w:pPr>
              <w:spacing w:after="0" w:line="245" w:lineRule="auto"/>
            </w:pPr>
            <w:r>
              <w:rPr>
                <w:b/>
                <w:color w:val="FFFFFF"/>
                <w:sz w:val="20"/>
              </w:rPr>
              <w:t>Measure</w:t>
            </w:r>
          </w:p>
        </w:tc>
        <w:tc>
          <w:tcPr>
            <w:tcW w:type="dxa" w:w="3816"/>
            <w:vAlign w:val="center"/>
            <w:shd w:fill="333333"/>
            <w:tcMar>
              <w:top w:w="75" w:type="dxa"/>
              <w:bottom w:w="75" w:type="dxa"/>
              <w:left w:w="90" w:type="dxa"/>
              <w:right w:w="90" w:type="dxa"/>
            </w:tcMar>
          </w:tcPr>
          <w:p>
            <w:pPr>
              <w:spacing w:after="0" w:line="245" w:lineRule="auto"/>
            </w:pPr>
            <w:r>
              <w:rPr>
                <w:b/>
                <w:color w:val="FFFFFF"/>
                <w:sz w:val="20"/>
              </w:rPr>
              <w:t>Decision</w:t>
            </w:r>
          </w:p>
        </w:tc>
      </w:tr>
      <w:tr>
        <w:trPr>
          <w:cantSplit/>
        </w:trPr>
        <w:tc>
          <w:tcPr>
            <w:tcW w:type="dxa" w:w="1584"/>
            <w:vAlign w:val="center"/>
            <w:shd w:fill="FFFFFF"/>
            <w:tcMar>
              <w:top w:w="75" w:type="dxa"/>
              <w:bottom w:w="75" w:type="dxa"/>
              <w:left w:w="90" w:type="dxa"/>
              <w:right w:w="90" w:type="dxa"/>
            </w:tcMar>
          </w:tcPr>
          <w:p>
            <w:pPr>
              <w:spacing w:after="0" w:line="245" w:lineRule="auto"/>
            </w:pPr>
            <w:r>
              <w:rPr>
                <w:sz w:val="20"/>
              </w:rPr>
              <w:t>Attention</w:t>
            </w:r>
          </w:p>
        </w:tc>
        <w:tc>
          <w:tcPr>
            <w:tcW w:type="dxa" w:w="4680"/>
            <w:vAlign w:val="center"/>
            <w:shd w:fill="FFFFFF"/>
            <w:tcMar>
              <w:top w:w="75" w:type="dxa"/>
              <w:bottom w:w="75" w:type="dxa"/>
              <w:left w:w="90" w:type="dxa"/>
              <w:right w:w="90" w:type="dxa"/>
            </w:tcMar>
          </w:tcPr>
          <w:p>
            <w:pPr>
              <w:spacing w:after="0" w:line="245" w:lineRule="auto"/>
            </w:pPr>
            <w:r>
              <w:rPr>
                <w:sz w:val="20"/>
              </w:rPr>
              <w:t>Post views, shares, relevant replies, qualified followers.</w:t>
            </w:r>
          </w:p>
        </w:tc>
        <w:tc>
          <w:tcPr>
            <w:tcW w:type="dxa" w:w="3816"/>
            <w:vAlign w:val="center"/>
            <w:shd w:fill="FFFFFF"/>
            <w:tcMar>
              <w:top w:w="75" w:type="dxa"/>
              <w:bottom w:w="75" w:type="dxa"/>
              <w:left w:w="90" w:type="dxa"/>
              <w:right w:w="90" w:type="dxa"/>
            </w:tcMar>
          </w:tcPr>
          <w:p>
            <w:pPr>
              <w:spacing w:after="0" w:line="245" w:lineRule="auto"/>
            </w:pPr>
            <w:r>
              <w:rPr>
                <w:sz w:val="20"/>
              </w:rPr>
              <w:t>Which subjects reach the intended technical audience?</w:t>
            </w:r>
          </w:p>
        </w:tc>
      </w:tr>
      <w:tr>
        <w:trPr>
          <w:cantSplit/>
        </w:trPr>
        <w:tc>
          <w:tcPr>
            <w:tcW w:type="dxa" w:w="1584"/>
            <w:vAlign w:val="center"/>
            <w:shd w:fill="F3F3F3"/>
            <w:tcMar>
              <w:top w:w="75" w:type="dxa"/>
              <w:bottom w:w="75" w:type="dxa"/>
              <w:left w:w="90" w:type="dxa"/>
              <w:right w:w="90" w:type="dxa"/>
            </w:tcMar>
          </w:tcPr>
          <w:p>
            <w:pPr>
              <w:spacing w:after="0" w:line="245" w:lineRule="auto"/>
            </w:pPr>
            <w:r>
              <w:rPr>
                <w:sz w:val="20"/>
              </w:rPr>
              <w:t>Interest</w:t>
            </w:r>
          </w:p>
        </w:tc>
        <w:tc>
          <w:tcPr>
            <w:tcW w:type="dxa" w:w="4680"/>
            <w:vAlign w:val="center"/>
            <w:shd w:fill="F3F3F3"/>
            <w:tcMar>
              <w:top w:w="75" w:type="dxa"/>
              <w:bottom w:w="75" w:type="dxa"/>
              <w:left w:w="90" w:type="dxa"/>
              <w:right w:w="90" w:type="dxa"/>
            </w:tcMar>
          </w:tcPr>
          <w:p>
            <w:pPr>
              <w:spacing w:after="0" w:line="245" w:lineRule="auto"/>
            </w:pPr>
            <w:r>
              <w:rPr>
                <w:sz w:val="20"/>
              </w:rPr>
              <w:t>Attributed site sessions, quickstart opens, demo starts and completions.</w:t>
            </w:r>
          </w:p>
        </w:tc>
        <w:tc>
          <w:tcPr>
            <w:tcW w:type="dxa" w:w="3816"/>
            <w:vAlign w:val="center"/>
            <w:shd w:fill="F3F3F3"/>
            <w:tcMar>
              <w:top w:w="75" w:type="dxa"/>
              <w:bottom w:w="75" w:type="dxa"/>
              <w:left w:w="90" w:type="dxa"/>
              <w:right w:w="90" w:type="dxa"/>
            </w:tcMar>
          </w:tcPr>
          <w:p>
            <w:pPr>
              <w:spacing w:after="0" w:line="245" w:lineRule="auto"/>
            </w:pPr>
            <w:r>
              <w:rPr>
                <w:sz w:val="20"/>
              </w:rPr>
              <w:t>Does the post give readers a reason to investigate?</w:t>
            </w:r>
          </w:p>
        </w:tc>
      </w:tr>
      <w:tr>
        <w:trPr>
          <w:cantSplit/>
        </w:trPr>
        <w:tc>
          <w:tcPr>
            <w:tcW w:type="dxa" w:w="1584"/>
            <w:vAlign w:val="center"/>
            <w:shd w:fill="FFFFFF"/>
            <w:tcMar>
              <w:top w:w="75" w:type="dxa"/>
              <w:bottom w:w="75" w:type="dxa"/>
              <w:left w:w="90" w:type="dxa"/>
              <w:right w:w="90" w:type="dxa"/>
            </w:tcMar>
          </w:tcPr>
          <w:p>
            <w:pPr>
              <w:spacing w:after="0" w:line="245" w:lineRule="auto"/>
            </w:pPr>
            <w:r>
              <w:rPr>
                <w:sz w:val="20"/>
              </w:rPr>
              <w:t>Activation</w:t>
            </w:r>
          </w:p>
        </w:tc>
        <w:tc>
          <w:tcPr>
            <w:tcW w:type="dxa" w:w="4680"/>
            <w:vAlign w:val="center"/>
            <w:shd w:fill="FFFFFF"/>
            <w:tcMar>
              <w:top w:w="75" w:type="dxa"/>
              <w:bottom w:w="75" w:type="dxa"/>
              <w:left w:w="90" w:type="dxa"/>
              <w:right w:w="90" w:type="dxa"/>
            </w:tcMar>
          </w:tcPr>
          <w:p>
            <w:pPr>
              <w:spacing w:after="0" w:line="245" w:lineRule="auto"/>
            </w:pPr>
            <w:r>
              <w:rPr>
                <w:sz w:val="20"/>
              </w:rPr>
              <w:t>Outside builder completes mock; separately, a controlled real integration.</w:t>
            </w:r>
          </w:p>
        </w:tc>
        <w:tc>
          <w:tcPr>
            <w:tcW w:type="dxa" w:w="3816"/>
            <w:vAlign w:val="center"/>
            <w:shd w:fill="FFFFFF"/>
            <w:tcMar>
              <w:top w:w="75" w:type="dxa"/>
              <w:bottom w:w="75" w:type="dxa"/>
              <w:left w:w="90" w:type="dxa"/>
              <w:right w:w="90" w:type="dxa"/>
            </w:tcMar>
          </w:tcPr>
          <w:p>
            <w:pPr>
              <w:spacing w:after="0" w:line="245" w:lineRule="auto"/>
            </w:pPr>
            <w:r>
              <w:rPr>
                <w:sz w:val="20"/>
              </w:rPr>
              <w:t>Can someone use the system, and where do they stall?</w:t>
            </w:r>
          </w:p>
        </w:tc>
      </w:tr>
      <w:tr>
        <w:trPr>
          <w:cantSplit/>
        </w:trPr>
        <w:tc>
          <w:tcPr>
            <w:tcW w:type="dxa" w:w="1584"/>
            <w:vAlign w:val="center"/>
            <w:shd w:fill="F3F3F3"/>
            <w:tcMar>
              <w:top w:w="75" w:type="dxa"/>
              <w:bottom w:w="75" w:type="dxa"/>
              <w:left w:w="90" w:type="dxa"/>
              <w:right w:w="90" w:type="dxa"/>
            </w:tcMar>
          </w:tcPr>
          <w:p>
            <w:pPr>
              <w:spacing w:after="0" w:line="245" w:lineRule="auto"/>
            </w:pPr>
            <w:r>
              <w:rPr>
                <w:sz w:val="20"/>
              </w:rPr>
              <w:t>Retention</w:t>
            </w:r>
          </w:p>
        </w:tc>
        <w:tc>
          <w:tcPr>
            <w:tcW w:type="dxa" w:w="4680"/>
            <w:vAlign w:val="center"/>
            <w:shd w:fill="F3F3F3"/>
            <w:tcMar>
              <w:top w:w="75" w:type="dxa"/>
              <w:bottom w:w="75" w:type="dxa"/>
              <w:left w:w="90" w:type="dxa"/>
              <w:right w:w="90" w:type="dxa"/>
            </w:tcMar>
          </w:tcPr>
          <w:p>
            <w:pPr>
              <w:spacing w:after="0" w:line="245" w:lineRule="auto"/>
            </w:pPr>
            <w:r>
              <w:rPr>
                <w:sz w:val="20"/>
              </w:rPr>
              <w:t>Same company completes the recurring job again.</w:t>
            </w:r>
          </w:p>
        </w:tc>
        <w:tc>
          <w:tcPr>
            <w:tcW w:type="dxa" w:w="3816"/>
            <w:vAlign w:val="center"/>
            <w:shd w:fill="F3F3F3"/>
            <w:tcMar>
              <w:top w:w="75" w:type="dxa"/>
              <w:bottom w:w="75" w:type="dxa"/>
              <w:left w:w="90" w:type="dxa"/>
              <w:right w:w="90" w:type="dxa"/>
            </w:tcMar>
          </w:tcPr>
          <w:p>
            <w:pPr>
              <w:spacing w:after="0" w:line="245" w:lineRule="auto"/>
            </w:pPr>
            <w:r>
              <w:rPr>
                <w:sz w:val="20"/>
              </w:rPr>
              <w:t>Does the product solve repeated work?</w:t>
            </w:r>
          </w:p>
        </w:tc>
      </w:tr>
      <w:tr>
        <w:trPr>
          <w:cantSplit/>
        </w:trPr>
        <w:tc>
          <w:tcPr>
            <w:tcW w:type="dxa" w:w="1584"/>
            <w:vAlign w:val="center"/>
            <w:shd w:fill="FFFFFF"/>
            <w:tcMar>
              <w:top w:w="75" w:type="dxa"/>
              <w:bottom w:w="75" w:type="dxa"/>
              <w:left w:w="90" w:type="dxa"/>
              <w:right w:w="90" w:type="dxa"/>
            </w:tcMar>
          </w:tcPr>
          <w:p>
            <w:pPr>
              <w:spacing w:after="0" w:line="245" w:lineRule="auto"/>
            </w:pPr>
            <w:r>
              <w:rPr>
                <w:sz w:val="20"/>
              </w:rPr>
              <w:t>Revenue</w:t>
            </w:r>
          </w:p>
        </w:tc>
        <w:tc>
          <w:tcPr>
            <w:tcW w:type="dxa" w:w="4680"/>
            <w:vAlign w:val="center"/>
            <w:shd w:fill="FFFFFF"/>
            <w:tcMar>
              <w:top w:w="75" w:type="dxa"/>
              <w:bottom w:w="75" w:type="dxa"/>
              <w:left w:w="90" w:type="dxa"/>
              <w:right w:w="90" w:type="dxa"/>
            </w:tcMar>
          </w:tcPr>
          <w:p>
            <w:pPr>
              <w:spacing w:after="0" w:line="245" w:lineRule="auto"/>
            </w:pPr>
            <w:r>
              <w:rPr>
                <w:sz w:val="20"/>
              </w:rPr>
              <w:t>Paid pilots, subscriptions, renewals, support hours, contribution.</w:t>
            </w:r>
          </w:p>
        </w:tc>
        <w:tc>
          <w:tcPr>
            <w:tcW w:type="dxa" w:w="3816"/>
            <w:vAlign w:val="center"/>
            <w:shd w:fill="FFFFFF"/>
            <w:tcMar>
              <w:top w:w="75" w:type="dxa"/>
              <w:bottom w:w="75" w:type="dxa"/>
              <w:left w:w="90" w:type="dxa"/>
              <w:right w:w="90" w:type="dxa"/>
            </w:tcMar>
          </w:tcPr>
          <w:p>
            <w:pPr>
              <w:spacing w:after="0" w:line="245" w:lineRule="auto"/>
            </w:pPr>
            <w:r>
              <w:rPr>
                <w:sz w:val="20"/>
              </w:rPr>
              <w:t>Is there a sustainable business?</w:t>
            </w:r>
          </w:p>
        </w:tc>
      </w:tr>
    </w:tbl>
    <w:p>
      <w:pPr>
        <w:spacing w:after="0"/>
      </w:pPr>
    </w:p>
    <w:p>
      <w:r>
        <w:t>The latest Erebus commit adds Vercel Web Analytics and notes that collection also requires a project-level toggle. Confirm that this is enabled before inferring no traffic. Add minimal events such as demo_start, demo_complete, quickstart_open, and pilot_request. Do not collect addresses, terms, grants, prompts, or key material.</w:t>
      </w:r>
      <w:r>
        <w:rPr>
          <w:vertAlign w:val="superscript"/>
        </w:rPr>
        <w:footnoteReference w:id="28"/>
      </w:r>
      <w:r/>
    </w:p>
    <w:p>
      <w:r>
        <w:t>Use campaign and post identifiers in UTMs. Record the actual landing session and subsequent event where available. GitHub stars and package downloads are interest proxies, not proof of installations or unique users. For local software, ask for voluntary completion feedback rather than silently adding sensitive telemetry.</w:t>
      </w:r>
    </w:p>
    <w:p>
      <w:r>
        <w:t>The visible 10K number is a post-view count, not evidence that 10K people watched the video. If video analytics are available, record metric definitions. X changed the Ads API video_total_views definition on August 13; do not reuse the older two-second definition for every video metric.</w:t>
      </w:r>
      <w:r>
        <w:rPr>
          <w:vertAlign w:val="superscript"/>
        </w:rPr>
        <w:footnoteReference w:id="29"/>
      </w:r>
      <w:r/>
    </w:p>
    <w:p>
      <w:pPr>
        <w:pStyle w:val="Heading1"/>
        <w:pageBreakBefore/>
      </w:pPr>
      <w:r>
        <w:t>Experiments and operating cadence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176"/>
        <w:gridCol w:w="3960"/>
      </w:tblGrid>
      <w:tr>
        <w:trPr>
          <w:cantSplit/>
          <w:tblHeader/>
        </w:trPr>
        <w:tc>
          <w:tcPr>
            <w:tcW w:type="dxa" w:w="1944"/>
            <w:vAlign w:val="center"/>
            <w:shd w:fill="333333"/>
            <w:tcMar>
              <w:top w:w="75" w:type="dxa"/>
              <w:bottom w:w="75" w:type="dxa"/>
              <w:left w:w="90" w:type="dxa"/>
              <w:right w:w="90" w:type="dxa"/>
            </w:tcMar>
          </w:tcPr>
          <w:p>
            <w:pPr>
              <w:spacing w:after="0" w:line="245" w:lineRule="auto"/>
            </w:pPr>
            <w:r>
              <w:rPr>
                <w:b/>
                <w:color w:val="FFFFFF"/>
                <w:sz w:val="20"/>
              </w:rPr>
              <w:t>Experiment</w:t>
            </w:r>
          </w:p>
        </w:tc>
        <w:tc>
          <w:tcPr>
            <w:tcW w:type="dxa" w:w="4176"/>
            <w:vAlign w:val="center"/>
            <w:shd w:fill="333333"/>
            <w:tcMar>
              <w:top w:w="75" w:type="dxa"/>
              <w:bottom w:w="75" w:type="dxa"/>
              <w:left w:w="90" w:type="dxa"/>
              <w:right w:w="90" w:type="dxa"/>
            </w:tcMar>
          </w:tcPr>
          <w:p>
            <w:pPr>
              <w:spacing w:after="0" w:line="245" w:lineRule="auto"/>
            </w:pPr>
            <w:r>
              <w:rPr>
                <w:b/>
                <w:color w:val="FFFFFF"/>
                <w:sz w:val="20"/>
              </w:rPr>
              <w:t>Comparison</w:t>
            </w:r>
          </w:p>
        </w:tc>
        <w:tc>
          <w:tcPr>
            <w:tcW w:type="dxa" w:w="3960"/>
            <w:vAlign w:val="center"/>
            <w:shd w:fill="333333"/>
            <w:tcMar>
              <w:top w:w="75" w:type="dxa"/>
              <w:bottom w:w="75" w:type="dxa"/>
              <w:left w:w="90" w:type="dxa"/>
              <w:right w:w="90" w:type="dxa"/>
            </w:tcMar>
          </w:tcPr>
          <w:p>
            <w:pPr>
              <w:spacing w:after="0" w:line="245" w:lineRule="auto"/>
            </w:pPr>
            <w:r>
              <w:rPr>
                <w:b/>
                <w:color w:val="FFFFFF"/>
                <w:sz w:val="20"/>
              </w:rPr>
              <w:t>Decision rule</w:t>
            </w:r>
          </w:p>
        </w:tc>
      </w:tr>
      <w:tr>
        <w:trPr>
          <w:cantSplit/>
        </w:trPr>
        <w:tc>
          <w:tcPr>
            <w:tcW w:type="dxa" w:w="1944"/>
            <w:vAlign w:val="center"/>
            <w:shd w:fill="FFFFFF"/>
            <w:tcMar>
              <w:top w:w="75" w:type="dxa"/>
              <w:bottom w:w="75" w:type="dxa"/>
              <w:left w:w="90" w:type="dxa"/>
              <w:right w:w="90" w:type="dxa"/>
            </w:tcMar>
          </w:tcPr>
          <w:p>
            <w:pPr>
              <w:spacing w:after="0" w:line="245" w:lineRule="auto"/>
            </w:pPr>
            <w:r>
              <w:rPr>
                <w:sz w:val="20"/>
              </w:rPr>
              <w:t>Link placement</w:t>
            </w:r>
          </w:p>
        </w:tc>
        <w:tc>
          <w:tcPr>
            <w:tcW w:type="dxa" w:w="4176"/>
            <w:vAlign w:val="center"/>
            <w:shd w:fill="FFFFFF"/>
            <w:tcMar>
              <w:top w:w="75" w:type="dxa"/>
              <w:bottom w:w="75" w:type="dxa"/>
              <w:left w:w="90" w:type="dxa"/>
              <w:right w:w="90" w:type="dxa"/>
            </w:tcMar>
          </w:tcPr>
          <w:p>
            <w:pPr>
              <w:spacing w:after="0" w:line="245" w:lineRule="auto"/>
            </w:pPr>
            <w:r>
              <w:rPr>
                <w:sz w:val="20"/>
              </w:rPr>
              <w:t>Useful post with direct quickstart link versus matched post with link in first reply.</w:t>
            </w:r>
          </w:p>
        </w:tc>
        <w:tc>
          <w:tcPr>
            <w:tcW w:type="dxa" w:w="3960"/>
            <w:vAlign w:val="center"/>
            <w:shd w:fill="FFFFFF"/>
            <w:tcMar>
              <w:top w:w="75" w:type="dxa"/>
              <w:bottom w:w="75" w:type="dxa"/>
              <w:left w:w="90" w:type="dxa"/>
              <w:right w:w="90" w:type="dxa"/>
            </w:tcMar>
          </w:tcPr>
          <w:p>
            <w:pPr>
              <w:spacing w:after="0" w:line="245" w:lineRule="auto"/>
            </w:pPr>
            <w:r>
              <w:rPr>
                <w:sz w:val="20"/>
              </w:rPr>
              <w:t>Compare qualified visits and activations per post at equal observation windows; log exposure differences.</w:t>
            </w:r>
          </w:p>
        </w:tc>
      </w:tr>
      <w:tr>
        <w:trPr>
          <w:cantSplit/>
        </w:trPr>
        <w:tc>
          <w:tcPr>
            <w:tcW w:type="dxa" w:w="1944"/>
            <w:vAlign w:val="center"/>
            <w:shd w:fill="F3F3F3"/>
            <w:tcMar>
              <w:top w:w="75" w:type="dxa"/>
              <w:bottom w:w="75" w:type="dxa"/>
              <w:left w:w="90" w:type="dxa"/>
              <w:right w:w="90" w:type="dxa"/>
            </w:tcMar>
          </w:tcPr>
          <w:p>
            <w:pPr>
              <w:spacing w:after="0" w:line="245" w:lineRule="auto"/>
            </w:pPr>
            <w:r>
              <w:rPr>
                <w:sz w:val="20"/>
              </w:rPr>
              <w:t>Format</w:t>
            </w:r>
          </w:p>
        </w:tc>
        <w:tc>
          <w:tcPr>
            <w:tcW w:type="dxa" w:w="4176"/>
            <w:vAlign w:val="center"/>
            <w:shd w:fill="F3F3F3"/>
            <w:tcMar>
              <w:top w:w="75" w:type="dxa"/>
              <w:bottom w:w="75" w:type="dxa"/>
              <w:left w:w="90" w:type="dxa"/>
              <w:right w:w="90" w:type="dxa"/>
            </w:tcMar>
          </w:tcPr>
          <w:p>
            <w:pPr>
              <w:spacing w:after="0" w:line="245" w:lineRule="auto"/>
            </w:pPr>
            <w:r>
              <w:rPr>
                <w:sz w:val="20"/>
              </w:rPr>
              <w:t>Same class of finding as a short demo versus a diagram.</w:t>
            </w:r>
          </w:p>
        </w:tc>
        <w:tc>
          <w:tcPr>
            <w:tcW w:type="dxa" w:w="3960"/>
            <w:vAlign w:val="center"/>
            <w:shd w:fill="F3F3F3"/>
            <w:tcMar>
              <w:top w:w="75" w:type="dxa"/>
              <w:bottom w:w="75" w:type="dxa"/>
              <w:left w:w="90" w:type="dxa"/>
              <w:right w:w="90" w:type="dxa"/>
            </w:tcMar>
          </w:tcPr>
          <w:p>
            <w:pPr>
              <w:spacing w:after="0" w:line="245" w:lineRule="auto"/>
            </w:pPr>
            <w:r>
              <w:rPr>
                <w:sz w:val="20"/>
              </w:rPr>
              <w:t>Repeat at least three pairs; judge qualified actions and production effort, not one breakout.</w:t>
            </w:r>
          </w:p>
        </w:tc>
      </w:tr>
      <w:tr>
        <w:trPr>
          <w:cantSplit/>
        </w:trPr>
        <w:tc>
          <w:tcPr>
            <w:tcW w:type="dxa" w:w="1944"/>
            <w:vAlign w:val="center"/>
            <w:shd w:fill="FFFFFF"/>
            <w:tcMar>
              <w:top w:w="75" w:type="dxa"/>
              <w:bottom w:w="75" w:type="dxa"/>
              <w:left w:w="90" w:type="dxa"/>
              <w:right w:w="90" w:type="dxa"/>
            </w:tcMar>
          </w:tcPr>
          <w:p>
            <w:pPr>
              <w:spacing w:after="0" w:line="245" w:lineRule="auto"/>
            </w:pPr>
            <w:r>
              <w:rPr>
                <w:sz w:val="20"/>
              </w:rPr>
              <w:t>Message</w:t>
            </w:r>
          </w:p>
        </w:tc>
        <w:tc>
          <w:tcPr>
            <w:tcW w:type="dxa" w:w="4176"/>
            <w:vAlign w:val="center"/>
            <w:shd w:fill="FFFFFF"/>
            <w:tcMar>
              <w:top w:w="75" w:type="dxa"/>
              <w:bottom w:w="75" w:type="dxa"/>
              <w:left w:w="90" w:type="dxa"/>
              <w:right w:w="90" w:type="dxa"/>
            </w:tcMar>
          </w:tcPr>
          <w:p>
            <w:pPr>
              <w:spacing w:after="0" w:line="245" w:lineRule="auto"/>
            </w:pPr>
            <w:r>
              <w:rPr>
                <w:sz w:val="20"/>
              </w:rPr>
              <w:t>Rate confidentiality versus recovery and reconciliation.</w:t>
            </w:r>
          </w:p>
        </w:tc>
        <w:tc>
          <w:tcPr>
            <w:tcW w:type="dxa" w:w="3960"/>
            <w:vAlign w:val="center"/>
            <w:shd w:fill="FFFFFF"/>
            <w:tcMar>
              <w:top w:w="75" w:type="dxa"/>
              <w:bottom w:w="75" w:type="dxa"/>
              <w:left w:w="90" w:type="dxa"/>
              <w:right w:w="90" w:type="dxa"/>
            </w:tcMar>
          </w:tcPr>
          <w:p>
            <w:pPr>
              <w:spacing w:after="0" w:line="245" w:lineRule="auto"/>
            </w:pPr>
            <w:r>
              <w:rPr>
                <w:sz w:val="20"/>
              </w:rPr>
              <w:t>Track which attracts real workflow conversations and pilot acceptance.</w:t>
            </w:r>
          </w:p>
        </w:tc>
      </w:tr>
      <w:tr>
        <w:trPr>
          <w:cantSplit/>
        </w:trPr>
        <w:tc>
          <w:tcPr>
            <w:tcW w:type="dxa" w:w="1944"/>
            <w:vAlign w:val="center"/>
            <w:shd w:fill="F3F3F3"/>
            <w:tcMar>
              <w:top w:w="75" w:type="dxa"/>
              <w:bottom w:w="75" w:type="dxa"/>
              <w:left w:w="90" w:type="dxa"/>
              <w:right w:w="90" w:type="dxa"/>
            </w:tcMar>
          </w:tcPr>
          <w:p>
            <w:pPr>
              <w:spacing w:after="0" w:line="245" w:lineRule="auto"/>
            </w:pPr>
            <w:r>
              <w:rPr>
                <w:sz w:val="20"/>
              </w:rPr>
              <w:t>Timing</w:t>
            </w:r>
          </w:p>
        </w:tc>
        <w:tc>
          <w:tcPr>
            <w:tcW w:type="dxa" w:w="4176"/>
            <w:vAlign w:val="center"/>
            <w:shd w:fill="F3F3F3"/>
            <w:tcMar>
              <w:top w:w="75" w:type="dxa"/>
              <w:bottom w:w="75" w:type="dxa"/>
              <w:left w:w="90" w:type="dxa"/>
              <w:right w:w="90" w:type="dxa"/>
            </w:tcMar>
          </w:tcPr>
          <w:p>
            <w:pPr>
              <w:spacing w:after="0" w:line="245" w:lineRule="auto"/>
            </w:pPr>
            <w:r>
              <w:rPr>
                <w:sz w:val="20"/>
              </w:rPr>
              <w:t>Alternate the two time windows with similar formats.</w:t>
            </w:r>
          </w:p>
        </w:tc>
        <w:tc>
          <w:tcPr>
            <w:tcW w:type="dxa" w:w="3960"/>
            <w:vAlign w:val="center"/>
            <w:shd w:fill="F3F3F3"/>
            <w:tcMar>
              <w:top w:w="75" w:type="dxa"/>
              <w:bottom w:w="75" w:type="dxa"/>
              <w:left w:w="90" w:type="dxa"/>
              <w:right w:w="90" w:type="dxa"/>
            </w:tcMar>
          </w:tcPr>
          <w:p>
            <w:pPr>
              <w:spacing w:after="0" w:line="245" w:lineRule="auto"/>
            </w:pPr>
            <w:r>
              <w:rPr>
                <w:sz w:val="20"/>
              </w:rPr>
              <w:t>Use 24-hour outcomes; no causal claim from a small organic sample.</w:t>
            </w:r>
          </w:p>
        </w:tc>
      </w:tr>
      <w:tr>
        <w:trPr>
          <w:cantSplit/>
        </w:trPr>
        <w:tc>
          <w:tcPr>
            <w:tcW w:type="dxa" w:w="1944"/>
            <w:vAlign w:val="center"/>
            <w:shd w:fill="FFFFFF"/>
            <w:tcMar>
              <w:top w:w="75" w:type="dxa"/>
              <w:bottom w:w="75" w:type="dxa"/>
              <w:left w:w="90" w:type="dxa"/>
              <w:right w:w="90" w:type="dxa"/>
            </w:tcMar>
          </w:tcPr>
          <w:p>
            <w:pPr>
              <w:spacing w:after="0" w:line="245" w:lineRule="auto"/>
            </w:pPr>
            <w:r>
              <w:rPr>
                <w:sz w:val="20"/>
              </w:rPr>
              <w:t>Offer</w:t>
            </w:r>
          </w:p>
        </w:tc>
        <w:tc>
          <w:tcPr>
            <w:tcW w:type="dxa" w:w="4176"/>
            <w:vAlign w:val="center"/>
            <w:shd w:fill="FFFFFF"/>
            <w:tcMar>
              <w:top w:w="75" w:type="dxa"/>
              <w:bottom w:w="75" w:type="dxa"/>
              <w:left w:w="90" w:type="dxa"/>
              <w:right w:w="90" w:type="dxa"/>
            </w:tcMar>
          </w:tcPr>
          <w:p>
            <w:pPr>
              <w:spacing w:after="0" w:line="245" w:lineRule="auto"/>
            </w:pPr>
            <w:r>
              <w:rPr>
                <w:sz w:val="20"/>
              </w:rPr>
              <w:t>Mock quickstart versus an assisted workflow replay.</w:t>
            </w:r>
          </w:p>
        </w:tc>
        <w:tc>
          <w:tcPr>
            <w:tcW w:type="dxa" w:w="3960"/>
            <w:vAlign w:val="center"/>
            <w:shd w:fill="FFFFFF"/>
            <w:tcMar>
              <w:top w:w="75" w:type="dxa"/>
              <w:bottom w:w="75" w:type="dxa"/>
              <w:left w:w="90" w:type="dxa"/>
              <w:right w:w="90" w:type="dxa"/>
            </w:tcMar>
          </w:tcPr>
          <w:p>
            <w:pPr>
              <w:spacing w:after="0" w:line="245" w:lineRule="auto"/>
            </w:pPr>
            <w:r>
              <w:rPr>
                <w:sz w:val="20"/>
              </w:rPr>
              <w:t>Track completed next steps and time required per qualified team.</w:t>
            </w:r>
          </w:p>
        </w:tc>
      </w:tr>
    </w:tbl>
    <w:p>
      <w:pPr>
        <w:spacing w:after="0"/>
      </w:pPr>
    </w:p>
    <w:p>
      <w:r>
        <w:t>Organic post experiments are confounded by topic, audience, novelty, support, and time. Keep a log of who amplified each post and what changed. A result seen once is a lead for another test, not an algorithm law. Record zero outcomes as carefully as viral ones.</w:t>
      </w:r>
    </w:p>
    <w:p>
      <w:pPr>
        <w:pStyle w:val="Heading2"/>
      </w:pPr>
      <w:r>
        <w:t>A sustainable weekly workload</w:t>
      </w:r>
    </w:p>
    <w:p>
      <w:r>
        <w:t>Assume a combined 12 to 15 hours per week for GTM in weeks one and two: about five hours creating and editing evidence-based content, three on interviews and onboarding, two on useful replies and follow-up, one on measurement, and one to four on the experiment. Product engineering is additional. If that budget is unavailable, publish three originals weekly and defer the large experiment rather than customer calls.</w:t>
      </w:r>
    </w:p>
    <w:p>
      <w:r>
        <w:t>Poulav should own technical claims, demonstrations, and integration conversations. Ishita can own experiment design and agent workflow presentation if that matches the team’s availability. One person must maintain the calendar, capture outcomes, and decide the next week’s priority. Roles are proposed, not assumed commitments.</w:t>
      </w:r>
    </w:p>
    <w:p>
      <w:r>
        <w:t>The brand account should publish product evidence and stable claims. Founder accounts should explain decisions, mistakes, and tradeoffs in their own voices. Do not mirror every post across both. A useful quote-post adds a specific technical point or personal observation.</w:t>
      </w:r>
    </w:p>
    <w:p>
      <w:r>
        <w:t>When a post breaks out, capture its audience questions, link to one deeper artifact, and publish a distinct follow-up within one or two days. When a post underperforms, leave it available, inspect whether it reached the wrong audience or lacked a clear proof, and test a new presentation. Do not repeatedly delete and repost it.</w:t>
      </w:r>
    </w:p>
    <w:p>
      <w:pPr>
        <w:pStyle w:val="Heading1"/>
        <w:pageBreakBefore/>
      </w:pPr>
      <w:r>
        <w:t>Validation gates over ninety days</w:t>
      </w:r>
    </w:p>
    <w:p>
      <w:r>
        <w:t>The thirty-day calendar is an execution plan, not a promise of viral posts. The milestones below are deliberately falsifiable internal targets. Count independent external companies separately from team demos, friendly amplification, grant sponsors, and multiple agents belonging to one company.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824"/>
        <w:gridCol w:w="3600"/>
      </w:tblGrid>
      <w:tr>
        <w:trPr>
          <w:cantSplit/>
          <w:tblHeader/>
        </w:trPr>
        <w:tc>
          <w:tcPr>
            <w:tcW w:type="dxa" w:w="1656"/>
            <w:vAlign w:val="center"/>
            <w:shd w:fill="333333"/>
            <w:tcMar>
              <w:top w:w="75" w:type="dxa"/>
              <w:bottom w:w="75" w:type="dxa"/>
              <w:left w:w="90" w:type="dxa"/>
              <w:right w:w="90" w:type="dxa"/>
            </w:tcMar>
          </w:tcPr>
          <w:p>
            <w:pPr>
              <w:spacing w:after="0" w:line="245" w:lineRule="auto"/>
            </w:pPr>
            <w:r>
              <w:rPr>
                <w:b/>
                <w:color w:val="FFFFFF"/>
                <w:sz w:val="20"/>
              </w:rPr>
              <w:t>Period</w:t>
            </w:r>
          </w:p>
        </w:tc>
        <w:tc>
          <w:tcPr>
            <w:tcW w:type="dxa" w:w="4824"/>
            <w:vAlign w:val="center"/>
            <w:shd w:fill="333333"/>
            <w:tcMar>
              <w:top w:w="75" w:type="dxa"/>
              <w:bottom w:w="75" w:type="dxa"/>
              <w:left w:w="90" w:type="dxa"/>
              <w:right w:w="90" w:type="dxa"/>
            </w:tcMar>
          </w:tcPr>
          <w:p>
            <w:pPr>
              <w:spacing w:after="0" w:line="245" w:lineRule="auto"/>
            </w:pPr>
            <w:r>
              <w:rPr>
                <w:b/>
                <w:color w:val="FFFFFF"/>
                <w:sz w:val="20"/>
              </w:rPr>
              <w:t>Target and work</w:t>
            </w:r>
          </w:p>
        </w:tc>
        <w:tc>
          <w:tcPr>
            <w:tcW w:type="dxa" w:w="3600"/>
            <w:vAlign w:val="center"/>
            <w:shd w:fill="333333"/>
            <w:tcMar>
              <w:top w:w="75" w:type="dxa"/>
              <w:bottom w:w="75" w:type="dxa"/>
              <w:left w:w="90" w:type="dxa"/>
              <w:right w:w="90" w:type="dxa"/>
            </w:tcMar>
          </w:tcPr>
          <w:p>
            <w:pPr>
              <w:spacing w:after="0" w:line="245" w:lineRule="auto"/>
            </w:pPr>
            <w:r>
              <w:rPr>
                <w:b/>
                <w:color w:val="FFFFFF"/>
                <w:sz w:val="20"/>
              </w:rPr>
              <w:t>Decision gate</w:t>
            </w:r>
          </w:p>
        </w:tc>
      </w:tr>
      <w:tr>
        <w:trPr>
          <w:cantSplit/>
        </w:trPr>
        <w:tc>
          <w:tcPr>
            <w:tcW w:type="dxa" w:w="1656"/>
            <w:vAlign w:val="center"/>
            <w:shd w:fill="FFFFFF"/>
            <w:tcMar>
              <w:top w:w="75" w:type="dxa"/>
              <w:bottom w:w="75" w:type="dxa"/>
              <w:left w:w="90" w:type="dxa"/>
              <w:right w:w="90" w:type="dxa"/>
            </w:tcMar>
          </w:tcPr>
          <w:p>
            <w:pPr>
              <w:spacing w:after="0" w:line="245" w:lineRule="auto"/>
            </w:pPr>
            <w:r>
              <w:rPr>
                <w:sz w:val="20"/>
              </w:rPr>
              <w:t>Days 1 to 7</w:t>
            </w:r>
          </w:p>
        </w:tc>
        <w:tc>
          <w:tcPr>
            <w:tcW w:type="dxa" w:w="4824"/>
            <w:vAlign w:val="center"/>
            <w:shd w:fill="FFFFFF"/>
            <w:tcMar>
              <w:top w:w="75" w:type="dxa"/>
              <w:bottom w:w="75" w:type="dxa"/>
              <w:left w:w="90" w:type="dxa"/>
              <w:right w:w="90" w:type="dxa"/>
            </w:tcMar>
          </w:tcPr>
          <w:p>
            <w:pPr>
              <w:spacing w:after="0" w:line="245" w:lineRule="auto"/>
            </w:pPr>
            <w:r>
              <w:rPr>
                <w:sz w:val="20"/>
              </w:rPr>
              <w:t>Make the next action visible; two proof posts; contact ten relevant teams; complete five workflow interviews.</w:t>
            </w:r>
          </w:p>
        </w:tc>
        <w:tc>
          <w:tcPr>
            <w:tcW w:type="dxa" w:w="3600"/>
            <w:vAlign w:val="center"/>
            <w:shd w:fill="FFFFFF"/>
            <w:tcMar>
              <w:top w:w="75" w:type="dxa"/>
              <w:bottom w:w="75" w:type="dxa"/>
              <w:left w:w="90" w:type="dxa"/>
              <w:right w:w="90" w:type="dxa"/>
            </w:tcMar>
          </w:tcPr>
          <w:p>
            <w:pPr>
              <w:spacing w:after="0" w:line="245" w:lineRule="auto"/>
            </w:pPr>
            <w:r>
              <w:rPr>
                <w:sz w:val="20"/>
              </w:rPr>
              <w:t>At least three describe a repeated, specific problem the actual privacy boundary can address.</w:t>
            </w:r>
          </w:p>
        </w:tc>
      </w:tr>
      <w:tr>
        <w:trPr>
          <w:cantSplit/>
        </w:trPr>
        <w:tc>
          <w:tcPr>
            <w:tcW w:type="dxa" w:w="1656"/>
            <w:vAlign w:val="center"/>
            <w:shd w:fill="F3F3F3"/>
            <w:tcMar>
              <w:top w:w="75" w:type="dxa"/>
              <w:bottom w:w="75" w:type="dxa"/>
              <w:left w:w="90" w:type="dxa"/>
              <w:right w:w="90" w:type="dxa"/>
            </w:tcMar>
          </w:tcPr>
          <w:p>
            <w:pPr>
              <w:spacing w:after="0" w:line="245" w:lineRule="auto"/>
            </w:pPr>
            <w:r>
              <w:rPr>
                <w:sz w:val="20"/>
              </w:rPr>
              <w:t>Days 8 to 14</w:t>
            </w:r>
          </w:p>
        </w:tc>
        <w:tc>
          <w:tcPr>
            <w:tcW w:type="dxa" w:w="4824"/>
            <w:vAlign w:val="center"/>
            <w:shd w:fill="F3F3F3"/>
            <w:tcMar>
              <w:top w:w="75" w:type="dxa"/>
              <w:bottom w:w="75" w:type="dxa"/>
              <w:left w:w="90" w:type="dxa"/>
              <w:right w:w="90" w:type="dxa"/>
            </w:tcMar>
          </w:tcPr>
          <w:p>
            <w:pPr>
              <w:spacing w:after="0" w:line="245" w:lineRule="auto"/>
            </w:pPr>
            <w:r>
              <w:rPr>
                <w:sz w:val="20"/>
              </w:rPr>
              <w:t>Complete five outside mock runs; replay two real workflows; offer scoped pilots.</w:t>
            </w:r>
          </w:p>
        </w:tc>
        <w:tc>
          <w:tcPr>
            <w:tcW w:type="dxa" w:w="3600"/>
            <w:vAlign w:val="center"/>
            <w:shd w:fill="F3F3F3"/>
            <w:tcMar>
              <w:top w:w="75" w:type="dxa"/>
              <w:bottom w:w="75" w:type="dxa"/>
              <w:left w:w="90" w:type="dxa"/>
              <w:right w:w="90" w:type="dxa"/>
            </w:tcMar>
          </w:tcPr>
          <w:p>
            <w:pPr>
              <w:spacing w:after="0" w:line="245" w:lineRule="auto"/>
            </w:pPr>
            <w:r>
              <w:rPr>
                <w:sz w:val="20"/>
              </w:rPr>
              <w:t>At least two budget owners agree to a concrete pilot discussion and identify an operating counterparty.</w:t>
            </w:r>
          </w:p>
        </w:tc>
      </w:tr>
      <w:tr>
        <w:trPr>
          <w:cantSplit/>
        </w:trPr>
        <w:tc>
          <w:tcPr>
            <w:tcW w:type="dxa" w:w="1656"/>
            <w:vAlign w:val="center"/>
            <w:shd w:fill="FFFFFF"/>
            <w:tcMar>
              <w:top w:w="75" w:type="dxa"/>
              <w:bottom w:w="75" w:type="dxa"/>
              <w:left w:w="90" w:type="dxa"/>
              <w:right w:w="90" w:type="dxa"/>
            </w:tcMar>
          </w:tcPr>
          <w:p>
            <w:pPr>
              <w:spacing w:after="0" w:line="245" w:lineRule="auto"/>
            </w:pPr>
            <w:r>
              <w:rPr>
                <w:sz w:val="20"/>
              </w:rPr>
              <w:t>Days 15 to 30</w:t>
            </w:r>
          </w:p>
        </w:tc>
        <w:tc>
          <w:tcPr>
            <w:tcW w:type="dxa" w:w="4824"/>
            <w:vAlign w:val="center"/>
            <w:shd w:fill="FFFFFF"/>
            <w:tcMar>
              <w:top w:w="75" w:type="dxa"/>
              <w:bottom w:w="75" w:type="dxa"/>
              <w:left w:w="90" w:type="dxa"/>
              <w:right w:w="90" w:type="dxa"/>
            </w:tcMar>
          </w:tcPr>
          <w:p>
            <w:pPr>
              <w:spacing w:after="0" w:line="245" w:lineRule="auto"/>
            </w:pPr>
            <w:r>
              <w:rPr>
                <w:sz w:val="20"/>
              </w:rPr>
              <w:t>Obtain two paid evaluation pilots, or one paid pilot plus a second documented purchase process; measure support burden.</w:t>
            </w:r>
          </w:p>
        </w:tc>
        <w:tc>
          <w:tcPr>
            <w:tcW w:type="dxa" w:w="3600"/>
            <w:vAlign w:val="center"/>
            <w:shd w:fill="FFFFFF"/>
            <w:tcMar>
              <w:top w:w="75" w:type="dxa"/>
              <w:bottom w:w="75" w:type="dxa"/>
              <w:left w:w="90" w:type="dxa"/>
              <w:right w:w="90" w:type="dxa"/>
            </w:tcMar>
          </w:tcPr>
          <w:p>
            <w:pPr>
              <w:spacing w:after="0" w:line="245" w:lineRule="auto"/>
            </w:pPr>
            <w:r>
              <w:rPr>
                <w:sz w:val="20"/>
              </w:rPr>
              <w:t>If twenty qualified conversations produce no concrete commitment, stop expanding the workspace and revisit the segment.</w:t>
            </w:r>
          </w:p>
        </w:tc>
      </w:tr>
      <w:tr>
        <w:trPr>
          <w:cantSplit/>
        </w:trPr>
        <w:tc>
          <w:tcPr>
            <w:tcW w:type="dxa" w:w="1656"/>
            <w:vAlign w:val="center"/>
            <w:shd w:fill="F3F3F3"/>
            <w:tcMar>
              <w:top w:w="75" w:type="dxa"/>
              <w:bottom w:w="75" w:type="dxa"/>
              <w:left w:w="90" w:type="dxa"/>
              <w:right w:w="90" w:type="dxa"/>
            </w:tcMar>
          </w:tcPr>
          <w:p>
            <w:pPr>
              <w:spacing w:after="0" w:line="245" w:lineRule="auto"/>
            </w:pPr>
            <w:r>
              <w:rPr>
                <w:sz w:val="20"/>
              </w:rPr>
              <w:t>Days 31 to 60</w:t>
            </w:r>
          </w:p>
        </w:tc>
        <w:tc>
          <w:tcPr>
            <w:tcW w:type="dxa" w:w="4824"/>
            <w:vAlign w:val="center"/>
            <w:shd w:fill="F3F3F3"/>
            <w:tcMar>
              <w:top w:w="75" w:type="dxa"/>
              <w:bottom w:w="75" w:type="dxa"/>
              <w:left w:w="90" w:type="dxa"/>
              <w:right w:w="90" w:type="dxa"/>
            </w:tcMar>
          </w:tcPr>
          <w:p>
            <w:pPr>
              <w:spacing w:after="0" w:line="245" w:lineRule="auto"/>
            </w:pPr>
            <w:r>
              <w:rPr>
                <w:sz w:val="20"/>
              </w:rPr>
              <w:t>Build only shared pilot requirements; validate intended stablecoin path and controls; repeat the customer job.</w:t>
            </w:r>
          </w:p>
        </w:tc>
        <w:tc>
          <w:tcPr>
            <w:tcW w:type="dxa" w:w="3600"/>
            <w:vAlign w:val="center"/>
            <w:shd w:fill="F3F3F3"/>
            <w:tcMar>
              <w:top w:w="75" w:type="dxa"/>
              <w:bottom w:w="75" w:type="dxa"/>
              <w:left w:w="90" w:type="dxa"/>
              <w:right w:w="90" w:type="dxa"/>
            </w:tcMar>
          </w:tcPr>
          <w:p>
            <w:pPr>
              <w:spacing w:after="0" w:line="245" w:lineRule="auto"/>
            </w:pPr>
            <w:r>
              <w:rPr>
                <w:sz w:val="20"/>
              </w:rPr>
              <w:t>At least two independent teams use the same core workflow again. Otherwise treat revenue as services.</w:t>
            </w:r>
          </w:p>
        </w:tc>
      </w:tr>
      <w:tr>
        <w:trPr>
          <w:cantSplit/>
        </w:trPr>
        <w:tc>
          <w:tcPr>
            <w:tcW w:type="dxa" w:w="1656"/>
            <w:vAlign w:val="center"/>
            <w:shd w:fill="FFFFFF"/>
            <w:tcMar>
              <w:top w:w="75" w:type="dxa"/>
              <w:bottom w:w="75" w:type="dxa"/>
              <w:left w:w="90" w:type="dxa"/>
              <w:right w:w="90" w:type="dxa"/>
            </w:tcMar>
          </w:tcPr>
          <w:p>
            <w:pPr>
              <w:spacing w:after="0" w:line="245" w:lineRule="auto"/>
            </w:pPr>
            <w:r>
              <w:rPr>
                <w:sz w:val="20"/>
              </w:rPr>
              <w:t>Days 61 to 90</w:t>
            </w:r>
          </w:p>
        </w:tc>
        <w:tc>
          <w:tcPr>
            <w:tcW w:type="dxa" w:w="4824"/>
            <w:vAlign w:val="center"/>
            <w:shd w:fill="FFFFFF"/>
            <w:tcMar>
              <w:top w:w="75" w:type="dxa"/>
              <w:bottom w:w="75" w:type="dxa"/>
              <w:left w:w="90" w:type="dxa"/>
              <w:right w:w="90" w:type="dxa"/>
            </w:tcMar>
          </w:tcPr>
          <w:p>
            <w:pPr>
              <w:spacing w:after="0" w:line="245" w:lineRule="auto"/>
            </w:pPr>
            <w:r>
              <w:rPr>
                <w:sz w:val="20"/>
              </w:rPr>
              <w:t>Offer recurring service after readiness gates; measure renewals and cost to support.</w:t>
            </w:r>
          </w:p>
        </w:tc>
        <w:tc>
          <w:tcPr>
            <w:tcW w:type="dxa" w:w="3600"/>
            <w:vAlign w:val="center"/>
            <w:shd w:fill="FFFFFF"/>
            <w:tcMar>
              <w:top w:w="75" w:type="dxa"/>
              <w:bottom w:w="75" w:type="dxa"/>
              <w:left w:w="90" w:type="dxa"/>
              <w:right w:w="90" w:type="dxa"/>
            </w:tcMar>
          </w:tcPr>
          <w:p>
            <w:pPr>
              <w:spacing w:after="0" w:line="245" w:lineRule="auto"/>
            </w:pPr>
            <w:r>
              <w:rPr>
                <w:sz w:val="20"/>
              </w:rPr>
              <w:t>Three to five renewing teams would justify continued product investment; no claim of product-market fit yet.</w:t>
            </w:r>
          </w:p>
        </w:tc>
      </w:tr>
    </w:tbl>
    <w:p>
      <w:pPr>
        <w:spacing w:after="0"/>
      </w:pPr>
    </w:p>
    <w:p>
      <w:pPr>
        <w:pStyle w:val="Heading2"/>
      </w:pPr>
      <w:r>
        <w:t>Reasons to change direction</w:t>
      </w:r>
    </w:p>
    <w:p>
      <w:r>
        <w:t>Stop or narrow the product if buyers need hidden relationships, if private transfers plus existing finance software solve the job, if every deployment requires unrelated custom work, if the cost or trust model prevents repeat use, or if the only enthusiasm comes from ecosystem supporters. These are business constraints, not messaging problems.</w:t>
      </w:r>
    </w:p>
    <w:p>
      <w:r>
        <w:t>If demand is strongest for integration help, sell the expertise with explicit scope. If repeat reconciliation and disclosure dominate, develop Erebus Settlements. If agent operators want the benchmark but do not transact, keep the research as distribution and avoid confusing it with a payment market.</w:t>
      </w:r>
    </w:p>
    <w:p>
      <w:pPr>
        <w:pStyle w:val="Heading2"/>
      </w:pPr>
      <w:r>
        <w:t>The next three actions</w:t>
      </w:r>
    </w:p>
    <w:p>
      <w:r>
        <w:t>Publish the cross-framework result with a direct mock-start path. Ask five relevant builders or operators to show their last real payment workflow. Prepare the $750 evaluation offer around one measurable job. These actions can convert the launch into evidence about both adoption and revenue before a larger product build.</w:t>
      </w:r>
    </w:p>
    <w:p>
      <w:pPr>
        <w:pStyle w:val="Heading1"/>
        <w:pageBreakBefore/>
      </w:pPr>
      <w:r>
        <w:t>Sources</w:t>
      </w:r>
    </w:p>
    <w:p>
      <w:r>
        <w:t>Source links identify exact pages or frozen repository files. Repository claims are project documentation, not an independent security audit. Public X counters are a point in time observation. Historical marketing examples support operating choices, not current algorithm claims.</w:t>
      </w:r>
    </w:p>
    <w:p>
      <w:pPr>
        <w:spacing w:after="140"/>
      </w:pPr>
      <w:r>
        <w:t xml:space="preserve">1. Erebus. </w:t>
      </w:r>
      <w:hyperlink r:id="rId9">
        <w:r>
          <w:rPr>
            <w:color w:val="333333"/>
            <w:u w:val="single"/>
          </w:rPr>
          <w:t>X profile and launch thread</w:t>
        </w:r>
      </w:hyperlink>
      <w:r>
        <w:t>. 11 September 2026; public counters observed 12 September 2026.</w:t>
      </w:r>
    </w:p>
    <w:p>
      <w:pPr>
        <w:spacing w:after="140"/>
      </w:pPr>
      <w:r>
        <w:t xml:space="preserve">2. Erebus. </w:t>
      </w:r>
      <w:hyperlink r:id="rId10">
        <w:r>
          <w:rPr>
            <w:color w:val="333333"/>
            <w:u w:val="single"/>
          </w:rPr>
          <w:t>Public product site</w:t>
        </w:r>
      </w:hyperlink>
      <w:r>
        <w:t>. Observed 12 September 2026.</w:t>
      </w:r>
    </w:p>
    <w:p>
      <w:pPr>
        <w:spacing w:after="140"/>
      </w:pPr>
      <w:r>
        <w:t xml:space="preserve">3. Erebus. </w:t>
      </w:r>
      <w:hyperlink r:id="rId11">
        <w:r>
          <w:rPr>
            <w:color w:val="333333"/>
            <w:u w:val="single"/>
          </w:rPr>
          <w:t>README</w:t>
        </w:r>
      </w:hyperlink>
      <w:r>
        <w:t>. Repository snapshot 11 September 2026.</w:t>
      </w:r>
    </w:p>
    <w:p>
      <w:pPr>
        <w:spacing w:after="140"/>
      </w:pPr>
      <w:r>
        <w:t xml:space="preserve">4. Erebus. </w:t>
      </w:r>
      <w:hyperlink r:id="rId12">
        <w:r>
          <w:rPr>
            <w:color w:val="333333"/>
            <w:u w:val="single"/>
          </w:rPr>
          <w:t>Privacy model</w:t>
        </w:r>
      </w:hyperlink>
      <w:r>
        <w:t>. Repository snapshot 11 September 2026.</w:t>
      </w:r>
    </w:p>
    <w:p>
      <w:pPr>
        <w:spacing w:after="140"/>
      </w:pPr>
      <w:r>
        <w:t xml:space="preserve">5. Erebus. </w:t>
      </w:r>
      <w:hyperlink r:id="rId13">
        <w:r>
          <w:rPr>
            <w:color w:val="333333"/>
            <w:u w:val="single"/>
          </w:rPr>
          <w:t>Status</w:t>
        </w:r>
      </w:hyperlink>
      <w:r>
        <w:t>. Dated 7 September 2026.</w:t>
      </w:r>
    </w:p>
    <w:p>
      <w:pPr>
        <w:spacing w:after="140"/>
      </w:pPr>
      <w:r>
        <w:t xml:space="preserve">6. Erebus. </w:t>
      </w:r>
      <w:hyperlink r:id="rId14">
        <w:r>
          <w:rPr>
            <w:color w:val="333333"/>
            <w:u w:val="single"/>
          </w:rPr>
          <w:t>Mainnet 2 STRK run across two agent frameworks</w:t>
        </w:r>
      </w:hyperlink>
      <w:r>
        <w:t>. 7 September 2026.</w:t>
      </w:r>
    </w:p>
    <w:p>
      <w:pPr>
        <w:spacing w:after="140"/>
      </w:pPr>
      <w:r>
        <w:t xml:space="preserve">7. Erebus. </w:t>
      </w:r>
      <w:hyperlink r:id="rId15">
        <w:r>
          <w:rPr>
            <w:color w:val="333333"/>
            <w:u w:val="single"/>
          </w:rPr>
          <w:t>Mainnet 0.6/0.4 canary</w:t>
        </w:r>
      </w:hyperlink>
      <w:r>
        <w:t>. 31 August 2026; verification added 1 September.</w:t>
      </w:r>
    </w:p>
    <w:p>
      <w:pPr>
        <w:spacing w:after="140"/>
      </w:pPr>
      <w:r>
        <w:t xml:space="preserve">8. Erebus. </w:t>
      </w:r>
      <w:hyperlink r:id="rId16">
        <w:r>
          <w:rPr>
            <w:color w:val="333333"/>
            <w:u w:val="single"/>
          </w:rPr>
          <w:t>Clean machine operator runbook</w:t>
        </w:r>
      </w:hyperlink>
      <w:r>
        <w:t>. Repository snapshot 11 September 2026.</w:t>
      </w:r>
    </w:p>
    <w:p>
      <w:pPr>
        <w:spacing w:after="140"/>
      </w:pPr>
      <w:r>
        <w:t xml:space="preserve">9. xAI. </w:t>
      </w:r>
      <w:hyperlink r:id="rId17">
        <w:r>
          <w:rPr>
            <w:color w:val="333333"/>
            <w:u w:val="single"/>
          </w:rPr>
          <w:t>X For You algorithm overview</w:t>
        </w:r>
      </w:hyperlink>
      <w:r>
        <w:t>. Snapshot 12 September 2026.</w:t>
      </w:r>
    </w:p>
    <w:p>
      <w:pPr>
        <w:spacing w:after="140"/>
      </w:pPr>
      <w:r>
        <w:t xml:space="preserve">10. xAI. </w:t>
      </w:r>
      <w:hyperlink r:id="rId18">
        <w:r>
          <w:rPr>
            <w:color w:val="333333"/>
            <w:u w:val="single"/>
          </w:rPr>
          <w:t>Ranking parameters</w:t>
        </w:r>
      </w:hyperlink>
      <w:r>
        <w:t>. Snapshot 12 September 2026.</w:t>
      </w:r>
    </w:p>
    <w:p>
      <w:pPr>
        <w:spacing w:after="140"/>
      </w:pPr>
      <w:r>
        <w:t xml:space="preserve">11. xAI. </w:t>
      </w:r>
      <w:hyperlink r:id="rId19">
        <w:r>
          <w:rPr>
            <w:color w:val="333333"/>
            <w:u w:val="single"/>
          </w:rPr>
          <w:t>Ranking scorer</w:t>
        </w:r>
      </w:hyperlink>
      <w:r>
        <w:t>. Snapshot 12 September 2026.</w:t>
      </w:r>
    </w:p>
    <w:p>
      <w:pPr>
        <w:spacing w:after="140"/>
      </w:pPr>
      <w:r>
        <w:t xml:space="preserve">12. xAI. </w:t>
      </w:r>
      <w:hyperlink r:id="rId20">
        <w:r>
          <w:rPr>
            <w:color w:val="333333"/>
            <w:u w:val="single"/>
          </w:rPr>
          <w:t>Bidirectional follow boost change</w:t>
        </w:r>
      </w:hyperlink>
      <w:r>
        <w:t>. July rollout documented in August 2026.</w:t>
      </w:r>
    </w:p>
    <w:p>
      <w:pPr>
        <w:spacing w:after="140"/>
      </w:pPr>
      <w:r>
        <w:t xml:space="preserve">13. xAI. </w:t>
      </w:r>
      <w:hyperlink r:id="rId21">
        <w:r>
          <w:rPr>
            <w:color w:val="333333"/>
            <w:u w:val="single"/>
          </w:rPr>
          <w:t>Age filter</w:t>
        </w:r>
      </w:hyperlink>
      <w:r>
        <w:t>. Snapshot 12 September 2026.</w:t>
      </w:r>
    </w:p>
    <w:p>
      <w:pPr>
        <w:spacing w:after="140"/>
      </w:pPr>
      <w:r>
        <w:t xml:space="preserve">14. xAI. </w:t>
      </w:r>
      <w:hyperlink r:id="rId22">
        <w:r>
          <w:rPr>
            <w:color w:val="333333"/>
            <w:u w:val="single"/>
          </w:rPr>
          <w:t>Author cold start scorer</w:t>
        </w:r>
      </w:hyperlink>
      <w:r>
        <w:t>. Snapshot 12 September 2026.</w:t>
      </w:r>
    </w:p>
    <w:p>
      <w:pPr>
        <w:spacing w:after="140"/>
      </w:pPr>
      <w:r>
        <w:t xml:space="preserve">15. xAI. </w:t>
      </w:r>
      <w:hyperlink r:id="rId23">
        <w:r>
          <w:rPr>
            <w:color w:val="333333"/>
            <w:u w:val="single"/>
          </w:rPr>
          <w:t>VM reranker</w:t>
        </w:r>
      </w:hyperlink>
      <w:r>
        <w:t>. Snapshot 12 September 2026.</w:t>
      </w:r>
    </w:p>
    <w:p>
      <w:pPr>
        <w:spacing w:after="140"/>
      </w:pPr>
      <w:r>
        <w:t xml:space="preserve">16. X Help. </w:t>
      </w:r>
      <w:hyperlink r:id="rId24">
        <w:r>
          <w:rPr>
            <w:color w:val="333333"/>
            <w:u w:val="single"/>
          </w:rPr>
          <w:t>About view counts</w:t>
        </w:r>
      </w:hyperlink>
      <w:r>
        <w:t>. Accessed 12 September 2026.</w:t>
      </w:r>
    </w:p>
    <w:p>
      <w:pPr>
        <w:spacing w:after="140"/>
      </w:pPr>
      <w:r>
        <w:t xml:space="preserve">17. X Help. </w:t>
      </w:r>
      <w:hyperlink r:id="rId25">
        <w:r>
          <w:rPr>
            <w:color w:val="333333"/>
            <w:u w:val="single"/>
          </w:rPr>
          <w:t>About Articles</w:t>
        </w:r>
      </w:hyperlink>
      <w:r>
        <w:t>. Accessed 12 September 2026.</w:t>
      </w:r>
    </w:p>
    <w:p>
      <w:pPr>
        <w:spacing w:after="140"/>
      </w:pPr>
      <w:r>
        <w:t xml:space="preserve">18. X Help. </w:t>
      </w:r>
      <w:hyperlink r:id="rId26">
        <w:r>
          <w:rPr>
            <w:color w:val="333333"/>
            <w:u w:val="single"/>
          </w:rPr>
          <w:t>About X Premium</w:t>
        </w:r>
      </w:hyperlink>
      <w:r>
        <w:t>. Accessed 12 September 2026.</w:t>
      </w:r>
    </w:p>
    <w:p>
      <w:pPr>
        <w:spacing w:after="140"/>
      </w:pPr>
      <w:r>
        <w:t xml:space="preserve">19. X Help. </w:t>
      </w:r>
      <w:hyperlink r:id="rId27">
        <w:r>
          <w:rPr>
            <w:color w:val="333333"/>
            <w:u w:val="single"/>
          </w:rPr>
          <w:t>Authenticity policy</w:t>
        </w:r>
      </w:hyperlink>
      <w:r>
        <w:t>. Accessed 12 September 2026.</w:t>
      </w:r>
    </w:p>
    <w:p>
      <w:pPr>
        <w:spacing w:after="140"/>
      </w:pPr>
      <w:r>
        <w:t xml:space="preserve">20. X Developer Platform. </w:t>
      </w:r>
      <w:hyperlink r:id="rId28">
        <w:r>
          <w:rPr>
            <w:color w:val="333333"/>
            <w:u w:val="single"/>
          </w:rPr>
          <w:t>API changelog</w:t>
        </w:r>
      </w:hyperlink>
      <w:r>
        <w:t>. Video metric update 13 August 2026.</w:t>
      </w:r>
    </w:p>
    <w:p>
      <w:pPr>
        <w:spacing w:after="140"/>
      </w:pPr>
      <w:r>
        <w:t xml:space="preserve">21. X Business. </w:t>
      </w:r>
      <w:hyperlink r:id="rId29">
        <w:r>
          <w:rPr>
            <w:color w:val="333333"/>
            <w:u w:val="single"/>
          </w:rPr>
          <w:t>Vertical video ads</w:t>
        </w:r>
      </w:hyperlink>
      <w:r>
        <w:t>. Accessed 12 September 2026; advertising guidance.</w:t>
      </w:r>
    </w:p>
    <w:p>
      <w:pPr>
        <w:spacing w:after="140"/>
      </w:pPr>
      <w:r>
        <w:t xml:space="preserve">22. Ant Wilson at Supabase. </w:t>
      </w:r>
      <w:hyperlink r:id="rId30">
        <w:r>
          <w:rPr>
            <w:color w:val="333333"/>
            <w:u w:val="single"/>
          </w:rPr>
          <w:t>How we launch at Supabase</w:t>
        </w:r>
      </w:hyperlink>
      <w:r>
        <w:t>. 26 November 2021; historical operating example.</w:t>
      </w:r>
    </w:p>
    <w:p>
      <w:pPr>
        <w:spacing w:after="140"/>
      </w:pPr>
      <w:r>
        <w:t xml:space="preserve">23. James Hawkins at PostHog. </w:t>
      </w:r>
      <w:hyperlink r:id="rId31">
        <w:r>
          <w:rPr>
            <w:color w:val="333333"/>
            <w:u w:val="single"/>
          </w:rPr>
          <w:t>How we got our first 1000 users</w:t>
        </w:r>
      </w:hyperlink>
      <w:r>
        <w:t>. 2024; historical founder account.</w:t>
      </w:r>
    </w:p>
    <w:p>
      <w:pPr>
        <w:spacing w:after="140"/>
      </w:pPr>
      <w:r>
        <w:t xml:space="preserve">24. Coinbase Developer Platform. </w:t>
      </w:r>
      <w:hyperlink r:id="rId32">
        <w:r>
          <w:rPr>
            <w:color w:val="333333"/>
            <w:u w:val="single"/>
          </w:rPr>
          <w:t>x402 FAQ</w:t>
        </w:r>
      </w:hyperlink>
      <w:r>
        <w:t>. Accessed 12 September 2026.</w:t>
      </w:r>
    </w:p>
    <w:p>
      <w:pPr>
        <w:spacing w:after="140"/>
      </w:pPr>
      <w:r>
        <w:t xml:space="preserve">25. Coinbase Developer Platform. </w:t>
      </w:r>
      <w:hyperlink r:id="rId33">
        <w:r>
          <w:rPr>
            <w:color w:val="333333"/>
            <w:u w:val="single"/>
          </w:rPr>
          <w:t>CDP Facilitator</w:t>
        </w:r>
      </w:hyperlink>
      <w:r>
        <w:t>. Accessed 12 September 2026.</w:t>
      </w:r>
    </w:p>
    <w:p>
      <w:pPr>
        <w:spacing w:after="140"/>
      </w:pPr>
      <w:r>
        <w:t xml:space="preserve">26. Request Finance. </w:t>
      </w:r>
      <w:hyperlink r:id="rId34">
        <w:r>
          <w:rPr>
            <w:color w:val="333333"/>
            <w:u w:val="single"/>
          </w:rPr>
          <w:t>Pricing</w:t>
        </w:r>
      </w:hyperlink>
      <w:r>
        <w:t>. Accessed 12 September 2026; annual billing shown.</w:t>
      </w:r>
    </w:p>
    <w:p>
      <w:pPr>
        <w:spacing w:after="140"/>
      </w:pPr>
      <w:r>
        <w:t xml:space="preserve">27. Request Finance. </w:t>
      </w:r>
      <w:hyperlink r:id="rId35">
        <w:r>
          <w:rPr>
            <w:color w:val="333333"/>
            <w:u w:val="single"/>
          </w:rPr>
          <w:t>API documentation</w:t>
        </w:r>
      </w:hyperlink>
      <w:r>
        <w:t>. Accessed 12 September 2026.</w:t>
      </w:r>
    </w:p>
    <w:p>
      <w:pPr>
        <w:spacing w:after="140"/>
      </w:pPr>
      <w:r>
        <w:t xml:space="preserve">28. Turnkey. </w:t>
      </w:r>
      <w:hyperlink r:id="rId36">
        <w:r>
          <w:rPr>
            <w:color w:val="333333"/>
            <w:u w:val="single"/>
          </w:rPr>
          <w:t>Policy engine guardrails</w:t>
        </w:r>
      </w:hyperlink>
      <w:r>
        <w:t>. Accessed 12 September 2026.</w:t>
      </w:r>
    </w:p>
    <w:p>
      <w:pPr>
        <w:spacing w:after="140"/>
      </w:pPr>
      <w:r>
        <w:t xml:space="preserve">29. Debbie Soon at Privy. </w:t>
      </w:r>
      <w:hyperlink r:id="rId37">
        <w:r>
          <w:rPr>
            <w:color w:val="333333"/>
            <w:u w:val="single"/>
          </w:rPr>
          <w:t>Turning AI agents into economic actors with ATXP</w:t>
        </w:r>
      </w:hyperlink>
      <w:r>
        <w:t>. 10 June 2026; vendor case study.</w:t>
      </w:r>
    </w:p>
    <w:p>
      <w:pPr>
        <w:spacing w:after="140"/>
      </w:pPr>
      <w:r>
        <w:t xml:space="preserve">30. Blue Clarity at Starknet. </w:t>
      </w:r>
      <w:hyperlink r:id="rId38">
        <w:r>
          <w:rPr>
            <w:color w:val="333333"/>
            <w:u w:val="single"/>
          </w:rPr>
          <w:t>Privacy is now live on Starknet</w:t>
        </w:r>
      </w:hyperlink>
      <w:r>
        <w:t>. 9 June 2026.</w:t>
      </w:r>
    </w:p>
    <w:p>
      <w:pPr>
        <w:spacing w:after="140"/>
      </w:pPr>
      <w:r>
        <w:t xml:space="preserve">31. Yijia Shao and coauthors. </w:t>
      </w:r>
      <w:hyperlink r:id="rId39">
        <w:r>
          <w:rPr>
            <w:color w:val="333333"/>
            <w:u w:val="single"/>
          </w:rPr>
          <w:t>PrivacyLens Evaluating Privacy Norm Awareness of Language Models in Action</w:t>
        </w:r>
      </w:hyperlink>
      <w:r>
        <w:t>. NeurIPS 2024; arXiv revision 14 March 2025.</w:t>
      </w:r>
    </w:p>
    <w:p>
      <w:pPr>
        <w:spacing w:after="140"/>
      </w:pPr>
      <w:r>
        <w:t xml:space="preserve">32. Pezeshkpour and Hruschka. </w:t>
      </w:r>
      <w:hyperlink r:id="rId40">
        <w:r>
          <w:rPr>
            <w:color w:val="333333"/>
            <w:u w:val="single"/>
          </w:rPr>
          <w:t>Large Language Models Sensitivity to The Order of Options in Multiple Choice Questions</w:t>
        </w:r>
      </w:hyperlink>
      <w:r>
        <w:t>. Findings of NAACL 2024.</w:t>
      </w:r>
    </w:p>
    <w:p>
      <w:pPr>
        <w:spacing w:after="140"/>
      </w:pPr>
      <w:r>
        <w:t xml:space="preserve">33. Erebus. </w:t>
      </w:r>
      <w:hyperlink r:id="rId41">
        <w:r>
          <w:rPr>
            <w:color w:val="333333"/>
            <w:u w:val="single"/>
          </w:rPr>
          <w:t>Enable Vercel Web Analytics</w:t>
        </w:r>
      </w:hyperlink>
      <w:r>
        <w:t>. 11 September 2026.</w:t>
      </w:r>
    </w:p>
    <w:p>
      <w:pPr>
        <w:spacing w:after="140"/>
      </w:pPr>
      <w:r>
        <w:t xml:space="preserve">34. X Help. </w:t>
      </w:r>
      <w:hyperlink r:id="rId42">
        <w:r>
          <w:rPr>
            <w:color w:val="333333"/>
            <w:u w:val="single"/>
          </w:rPr>
          <w:t>About conversations</w:t>
        </w:r>
      </w:hyperlink>
      <w:r>
        <w:t>. Accessed 12 September 2026.</w:t>
      </w:r>
    </w:p>
    <w:p>
      <w:pPr>
        <w:spacing w:after="140"/>
      </w:pPr>
      <w:r>
        <w:t xml:space="preserve">35. Turnkey. </w:t>
      </w:r>
      <w:hyperlink r:id="rId43">
        <w:r>
          <w:rPr>
            <w:color w:val="333333"/>
            <w:u w:val="single"/>
          </w:rPr>
          <w:t>Pricing</w:t>
        </w:r>
      </w:hyperlink>
      <w:r>
        <w:t>. Accessed 12 September 2026.</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spacing w:after="35"/>
      </w:pPr>
      <w:r>
        <w:footnoteRef/>
      </w:r>
      <w:r>
        <w:rPr>
          <w:sz w:val="17"/>
        </w:rPr>
        <w:t xml:space="preserve"> Erebus, </w:t>
      </w:r>
      <w:hyperlink r:id="rId1_0">
        <w:r>
          <w:rPr>
            <w:sz w:val="17"/>
            <w:u w:val="single"/>
          </w:rPr>
          <w:t>README</w:t>
        </w:r>
      </w:hyperlink>
      <w:r>
        <w:rPr>
          <w:sz w:val="17"/>
        </w:rPr>
        <w:t xml:space="preserve"> (Repository snapshot 11 September 2026)</w:t>
      </w:r>
      <w:r>
        <w:rPr>
          <w:sz w:val="17"/>
        </w:rPr>
        <w:t xml:space="preserve">; Erebus, </w:t>
      </w:r>
      <w:hyperlink r:id="rId1_1">
        <w:r>
          <w:rPr>
            <w:sz w:val="17"/>
            <w:u w:val="single"/>
          </w:rPr>
          <w:t>Status</w:t>
        </w:r>
      </w:hyperlink>
      <w:r>
        <w:rPr>
          <w:sz w:val="17"/>
        </w:rPr>
        <w:t xml:space="preserve"> (Dated 7 September 2026).</w:t>
      </w:r>
    </w:p>
  </w:footnote>
  <w:footnote w:id="2">
    <w:p>
      <w:pPr>
        <w:spacing w:after="35"/>
      </w:pPr>
      <w:r>
        <w:footnoteRef/>
      </w:r>
      <w:r>
        <w:rPr>
          <w:sz w:val="17"/>
        </w:rPr>
        <w:t xml:space="preserve"> Erebus, </w:t>
      </w:r>
      <w:hyperlink r:id="rId2_0">
        <w:r>
          <w:rPr>
            <w:sz w:val="17"/>
            <w:u w:val="single"/>
          </w:rPr>
          <w:t>X profile and launch thread</w:t>
        </w:r>
      </w:hyperlink>
      <w:r>
        <w:rPr>
          <w:sz w:val="17"/>
        </w:rPr>
        <w:t xml:space="preserve"> (11 September 2026; public counters observed 12 September 2026).</w:t>
      </w:r>
    </w:p>
  </w:footnote>
  <w:footnote w:id="3">
    <w:p>
      <w:pPr>
        <w:spacing w:after="35"/>
      </w:pPr>
      <w:r>
        <w:footnoteRef/>
      </w:r>
      <w:r>
        <w:rPr>
          <w:sz w:val="17"/>
        </w:rPr>
        <w:t xml:space="preserve"> X Help, </w:t>
      </w:r>
      <w:hyperlink r:id="rId3_0">
        <w:r>
          <w:rPr>
            <w:sz w:val="17"/>
            <w:u w:val="single"/>
          </w:rPr>
          <w:t>About view counts</w:t>
        </w:r>
      </w:hyperlink>
      <w:r>
        <w:rPr>
          <w:sz w:val="17"/>
        </w:rPr>
        <w:t xml:space="preserve"> (Accessed 12 September 2026).</w:t>
      </w:r>
    </w:p>
  </w:footnote>
  <w:footnote w:id="4">
    <w:p>
      <w:pPr>
        <w:spacing w:after="35"/>
      </w:pPr>
      <w:r>
        <w:footnoteRef/>
      </w:r>
      <w:r>
        <w:rPr>
          <w:sz w:val="17"/>
        </w:rPr>
        <w:t xml:space="preserve"> Erebus, </w:t>
      </w:r>
      <w:hyperlink r:id="rId4_0">
        <w:r>
          <w:rPr>
            <w:sz w:val="17"/>
            <w:u w:val="single"/>
          </w:rPr>
          <w:t>Public product site</w:t>
        </w:r>
      </w:hyperlink>
      <w:r>
        <w:rPr>
          <w:sz w:val="17"/>
        </w:rPr>
        <w:t xml:space="preserve"> (Observed 12 September 2026).</w:t>
      </w:r>
    </w:p>
  </w:footnote>
  <w:footnote w:id="5">
    <w:p>
      <w:pPr>
        <w:spacing w:after="35"/>
      </w:pPr>
      <w:r>
        <w:footnoteRef/>
      </w:r>
      <w:r>
        <w:rPr>
          <w:sz w:val="17"/>
        </w:rPr>
        <w:t xml:space="preserve"> xAI, </w:t>
      </w:r>
      <w:hyperlink r:id="rId5_0">
        <w:r>
          <w:rPr>
            <w:sz w:val="17"/>
            <w:u w:val="single"/>
          </w:rPr>
          <w:t>X For You algorithm overview</w:t>
        </w:r>
      </w:hyperlink>
      <w:r>
        <w:rPr>
          <w:sz w:val="17"/>
        </w:rPr>
        <w:t xml:space="preserve"> (Snapshot 12 September 2026).</w:t>
      </w:r>
    </w:p>
  </w:footnote>
  <w:footnote w:id="6">
    <w:p>
      <w:pPr>
        <w:spacing w:after="35"/>
      </w:pPr>
      <w:r>
        <w:footnoteRef/>
      </w:r>
      <w:r>
        <w:rPr>
          <w:sz w:val="17"/>
        </w:rPr>
        <w:t xml:space="preserve"> xAI, </w:t>
      </w:r>
      <w:hyperlink r:id="rId6_0">
        <w:r>
          <w:rPr>
            <w:sz w:val="17"/>
            <w:u w:val="single"/>
          </w:rPr>
          <w:t>Ranking parameters</w:t>
        </w:r>
      </w:hyperlink>
      <w:r>
        <w:rPr>
          <w:sz w:val="17"/>
        </w:rPr>
        <w:t xml:space="preserve"> (Snapshot 12 September 2026)</w:t>
      </w:r>
      <w:r>
        <w:rPr>
          <w:sz w:val="17"/>
        </w:rPr>
        <w:t xml:space="preserve">; xAI, </w:t>
      </w:r>
      <w:hyperlink r:id="rId6_1">
        <w:r>
          <w:rPr>
            <w:sz w:val="17"/>
            <w:u w:val="single"/>
          </w:rPr>
          <w:t>Ranking scorer</w:t>
        </w:r>
      </w:hyperlink>
      <w:r>
        <w:rPr>
          <w:sz w:val="17"/>
        </w:rPr>
        <w:t xml:space="preserve"> (Snapshot 12 September 2026).</w:t>
      </w:r>
    </w:p>
  </w:footnote>
  <w:footnote w:id="7">
    <w:p>
      <w:pPr>
        <w:spacing w:after="35"/>
      </w:pPr>
      <w:r>
        <w:footnoteRef/>
      </w:r>
      <w:r>
        <w:rPr>
          <w:sz w:val="17"/>
        </w:rPr>
        <w:t xml:space="preserve"> xAI, </w:t>
      </w:r>
      <w:hyperlink r:id="rId7_0">
        <w:r>
          <w:rPr>
            <w:sz w:val="17"/>
            <w:u w:val="single"/>
          </w:rPr>
          <w:t>X For You algorithm overview</w:t>
        </w:r>
      </w:hyperlink>
      <w:r>
        <w:rPr>
          <w:sz w:val="17"/>
        </w:rPr>
        <w:t xml:space="preserve"> (Snapshot 12 September 2026)</w:t>
      </w:r>
      <w:r>
        <w:rPr>
          <w:sz w:val="17"/>
        </w:rPr>
        <w:t xml:space="preserve">; xAI, </w:t>
      </w:r>
      <w:hyperlink r:id="rId7_1">
        <w:r>
          <w:rPr>
            <w:sz w:val="17"/>
            <w:u w:val="single"/>
          </w:rPr>
          <w:t>Age filter</w:t>
        </w:r>
      </w:hyperlink>
      <w:r>
        <w:rPr>
          <w:sz w:val="17"/>
        </w:rPr>
        <w:t xml:space="preserve"> (Snapshot 12 September 2026).</w:t>
      </w:r>
    </w:p>
  </w:footnote>
  <w:footnote w:id="8">
    <w:p>
      <w:pPr>
        <w:spacing w:after="35"/>
      </w:pPr>
      <w:r>
        <w:footnoteRef/>
      </w:r>
      <w:r>
        <w:rPr>
          <w:sz w:val="17"/>
        </w:rPr>
        <w:t xml:space="preserve"> xAI, </w:t>
      </w:r>
      <w:hyperlink r:id="rId8_0">
        <w:r>
          <w:rPr>
            <w:sz w:val="17"/>
            <w:u w:val="single"/>
          </w:rPr>
          <w:t>Author cold start scorer</w:t>
        </w:r>
      </w:hyperlink>
      <w:r>
        <w:rPr>
          <w:sz w:val="17"/>
        </w:rPr>
        <w:t xml:space="preserve"> (Snapshot 12 September 2026)</w:t>
      </w:r>
      <w:r>
        <w:rPr>
          <w:sz w:val="17"/>
        </w:rPr>
        <w:t xml:space="preserve">; xAI, </w:t>
      </w:r>
      <w:hyperlink r:id="rId8_1">
        <w:r>
          <w:rPr>
            <w:sz w:val="17"/>
            <w:u w:val="single"/>
          </w:rPr>
          <w:t>VM reranker</w:t>
        </w:r>
      </w:hyperlink>
      <w:r>
        <w:rPr>
          <w:sz w:val="17"/>
        </w:rPr>
        <w:t xml:space="preserve"> (Snapshot 12 September 2026).</w:t>
      </w:r>
    </w:p>
  </w:footnote>
  <w:footnote w:id="9">
    <w:p>
      <w:pPr>
        <w:spacing w:after="35"/>
      </w:pPr>
      <w:r>
        <w:footnoteRef/>
      </w:r>
      <w:r>
        <w:rPr>
          <w:sz w:val="17"/>
        </w:rPr>
        <w:t xml:space="preserve"> xAI, </w:t>
      </w:r>
      <w:hyperlink r:id="rId9_0">
        <w:r>
          <w:rPr>
            <w:sz w:val="17"/>
            <w:u w:val="single"/>
          </w:rPr>
          <w:t>Ranking parameters</w:t>
        </w:r>
      </w:hyperlink>
      <w:r>
        <w:rPr>
          <w:sz w:val="17"/>
        </w:rPr>
        <w:t xml:space="preserve"> (Snapshot 12 September 2026).</w:t>
      </w:r>
    </w:p>
  </w:footnote>
  <w:footnote w:id="10">
    <w:p>
      <w:pPr>
        <w:spacing w:after="35"/>
      </w:pPr>
      <w:r>
        <w:footnoteRef/>
      </w:r>
      <w:r>
        <w:rPr>
          <w:sz w:val="17"/>
        </w:rPr>
        <w:t xml:space="preserve"> xAI, </w:t>
      </w:r>
      <w:hyperlink r:id="rId10_0">
        <w:r>
          <w:rPr>
            <w:sz w:val="17"/>
            <w:u w:val="single"/>
          </w:rPr>
          <w:t>Bidirectional follow boost change</w:t>
        </w:r>
      </w:hyperlink>
      <w:r>
        <w:rPr>
          <w:sz w:val="17"/>
        </w:rPr>
        <w:t xml:space="preserve"> (July rollout documented in August 2026)</w:t>
      </w:r>
      <w:r>
        <w:rPr>
          <w:sz w:val="17"/>
        </w:rPr>
        <w:t xml:space="preserve">; X Help, </w:t>
      </w:r>
      <w:hyperlink r:id="rId10_1">
        <w:r>
          <w:rPr>
            <w:sz w:val="17"/>
            <w:u w:val="single"/>
          </w:rPr>
          <w:t>About conversations</w:t>
        </w:r>
      </w:hyperlink>
      <w:r>
        <w:rPr>
          <w:sz w:val="17"/>
        </w:rPr>
        <w:t xml:space="preserve"> (Accessed 12 September 2026).</w:t>
      </w:r>
    </w:p>
  </w:footnote>
  <w:footnote w:id="11">
    <w:p>
      <w:pPr>
        <w:spacing w:after="35"/>
      </w:pPr>
      <w:r>
        <w:footnoteRef/>
      </w:r>
      <w:r>
        <w:rPr>
          <w:sz w:val="17"/>
        </w:rPr>
        <w:t xml:space="preserve"> X Help, </w:t>
      </w:r>
      <w:hyperlink r:id="rId11_0">
        <w:r>
          <w:rPr>
            <w:sz w:val="17"/>
            <w:u w:val="single"/>
          </w:rPr>
          <w:t>About Articles</w:t>
        </w:r>
      </w:hyperlink>
      <w:r>
        <w:rPr>
          <w:sz w:val="17"/>
        </w:rPr>
        <w:t xml:space="preserve"> (Accessed 12 September 2026)</w:t>
      </w:r>
      <w:r>
        <w:rPr>
          <w:sz w:val="17"/>
        </w:rPr>
        <w:t xml:space="preserve">; X Help, </w:t>
      </w:r>
      <w:hyperlink r:id="rId11_1">
        <w:r>
          <w:rPr>
            <w:sz w:val="17"/>
            <w:u w:val="single"/>
          </w:rPr>
          <w:t>About X Premium</w:t>
        </w:r>
      </w:hyperlink>
      <w:r>
        <w:rPr>
          <w:sz w:val="17"/>
        </w:rPr>
        <w:t xml:space="preserve"> (Accessed 12 September 2026).</w:t>
      </w:r>
    </w:p>
  </w:footnote>
  <w:footnote w:id="12">
    <w:p>
      <w:pPr>
        <w:spacing w:after="35"/>
      </w:pPr>
      <w:r>
        <w:footnoteRef/>
      </w:r>
      <w:r>
        <w:rPr>
          <w:sz w:val="17"/>
        </w:rPr>
        <w:t xml:space="preserve"> X Help, </w:t>
      </w:r>
      <w:hyperlink r:id="rId12_0">
        <w:r>
          <w:rPr>
            <w:sz w:val="17"/>
            <w:u w:val="single"/>
          </w:rPr>
          <w:t>Authenticity policy</w:t>
        </w:r>
      </w:hyperlink>
      <w:r>
        <w:rPr>
          <w:sz w:val="17"/>
        </w:rPr>
        <w:t xml:space="preserve"> (Accessed 12 September 2026).</w:t>
      </w:r>
    </w:p>
  </w:footnote>
  <w:footnote w:id="13">
    <w:p>
      <w:pPr>
        <w:spacing w:after="35"/>
      </w:pPr>
      <w:r>
        <w:footnoteRef/>
      </w:r>
      <w:r>
        <w:rPr>
          <w:sz w:val="17"/>
        </w:rPr>
        <w:t xml:space="preserve"> Erebus, </w:t>
      </w:r>
      <w:hyperlink r:id="rId13_0">
        <w:r>
          <w:rPr>
            <w:sz w:val="17"/>
            <w:u w:val="single"/>
          </w:rPr>
          <w:t>Privacy model</w:t>
        </w:r>
      </w:hyperlink>
      <w:r>
        <w:rPr>
          <w:sz w:val="17"/>
        </w:rPr>
        <w:t xml:space="preserve"> (Repository snapshot 11 September 2026)</w:t>
      </w:r>
      <w:r>
        <w:rPr>
          <w:sz w:val="17"/>
        </w:rPr>
        <w:t xml:space="preserve">; Erebus, </w:t>
      </w:r>
      <w:hyperlink r:id="rId13_1">
        <w:r>
          <w:rPr>
            <w:sz w:val="17"/>
            <w:u w:val="single"/>
          </w:rPr>
          <w:t>Status</w:t>
        </w:r>
      </w:hyperlink>
      <w:r>
        <w:rPr>
          <w:sz w:val="17"/>
        </w:rPr>
        <w:t xml:space="preserve"> (Dated 7 September 2026).</w:t>
      </w:r>
    </w:p>
  </w:footnote>
  <w:footnote w:id="14">
    <w:p>
      <w:pPr>
        <w:spacing w:after="35"/>
      </w:pPr>
      <w:r>
        <w:footnoteRef/>
      </w:r>
      <w:r>
        <w:rPr>
          <w:sz w:val="17"/>
        </w:rPr>
        <w:t xml:space="preserve"> Erebus, </w:t>
      </w:r>
      <w:hyperlink r:id="rId14_0">
        <w:r>
          <w:rPr>
            <w:sz w:val="17"/>
            <w:u w:val="single"/>
          </w:rPr>
          <w:t>Mainnet 2 STRK run across two agent frameworks</w:t>
        </w:r>
      </w:hyperlink>
      <w:r>
        <w:rPr>
          <w:sz w:val="17"/>
        </w:rPr>
        <w:t xml:space="preserve"> (7 September 2026).</w:t>
      </w:r>
    </w:p>
  </w:footnote>
  <w:footnote w:id="15">
    <w:p>
      <w:pPr>
        <w:spacing w:after="35"/>
      </w:pPr>
      <w:r>
        <w:footnoteRef/>
      </w:r>
      <w:r>
        <w:rPr>
          <w:sz w:val="17"/>
        </w:rPr>
        <w:t xml:space="preserve"> Coinbase Developer Platform, </w:t>
      </w:r>
      <w:hyperlink r:id="rId15_0">
        <w:r>
          <w:rPr>
            <w:sz w:val="17"/>
            <w:u w:val="single"/>
          </w:rPr>
          <w:t>x402 FAQ</w:t>
        </w:r>
      </w:hyperlink>
      <w:r>
        <w:rPr>
          <w:sz w:val="17"/>
        </w:rPr>
        <w:t xml:space="preserve"> (Accessed 12 September 2026)</w:t>
      </w:r>
      <w:r>
        <w:rPr>
          <w:sz w:val="17"/>
        </w:rPr>
        <w:t xml:space="preserve">; Request Finance, </w:t>
      </w:r>
      <w:hyperlink r:id="rId15_1">
        <w:r>
          <w:rPr>
            <w:sz w:val="17"/>
            <w:u w:val="single"/>
          </w:rPr>
          <w:t>API documentation</w:t>
        </w:r>
      </w:hyperlink>
      <w:r>
        <w:rPr>
          <w:sz w:val="17"/>
        </w:rPr>
        <w:t xml:space="preserve"> (Accessed 12 September 2026)</w:t>
      </w:r>
      <w:r>
        <w:rPr>
          <w:sz w:val="17"/>
        </w:rPr>
        <w:t xml:space="preserve">; Turnkey, </w:t>
      </w:r>
      <w:hyperlink r:id="rId15_2">
        <w:r>
          <w:rPr>
            <w:sz w:val="17"/>
            <w:u w:val="single"/>
          </w:rPr>
          <w:t>Policy engine guardrails</w:t>
        </w:r>
      </w:hyperlink>
      <w:r>
        <w:rPr>
          <w:sz w:val="17"/>
        </w:rPr>
        <w:t xml:space="preserve"> (Accessed 12 September 2026)</w:t>
      </w:r>
      <w:r>
        <w:rPr>
          <w:sz w:val="17"/>
        </w:rPr>
        <w:t xml:space="preserve">; Blue Clarity at Starknet, </w:t>
      </w:r>
      <w:hyperlink r:id="rId15_3">
        <w:r>
          <w:rPr>
            <w:sz w:val="17"/>
            <w:u w:val="single"/>
          </w:rPr>
          <w:t>Privacy is now live on Starknet</w:t>
        </w:r>
      </w:hyperlink>
      <w:r>
        <w:rPr>
          <w:sz w:val="17"/>
        </w:rPr>
        <w:t xml:space="preserve"> (9 June 2026).</w:t>
      </w:r>
    </w:p>
  </w:footnote>
  <w:footnote w:id="16">
    <w:p>
      <w:pPr>
        <w:spacing w:after="35"/>
      </w:pPr>
      <w:r>
        <w:footnoteRef/>
      </w:r>
      <w:r>
        <w:rPr>
          <w:sz w:val="17"/>
        </w:rPr>
        <w:t xml:space="preserve"> Debbie Soon at Privy, </w:t>
      </w:r>
      <w:hyperlink r:id="rId16_0">
        <w:r>
          <w:rPr>
            <w:sz w:val="17"/>
            <w:u w:val="single"/>
          </w:rPr>
          <w:t>Turning AI agents into economic actors with ATXP</w:t>
        </w:r>
      </w:hyperlink>
      <w:r>
        <w:rPr>
          <w:sz w:val="17"/>
        </w:rPr>
        <w:t xml:space="preserve"> (10 June 2026; vendor case study).</w:t>
      </w:r>
    </w:p>
  </w:footnote>
  <w:footnote w:id="17">
    <w:p>
      <w:pPr>
        <w:spacing w:after="35"/>
      </w:pPr>
      <w:r>
        <w:footnoteRef/>
      </w:r>
      <w:r>
        <w:rPr>
          <w:sz w:val="17"/>
        </w:rPr>
        <w:t xml:space="preserve"> Turnkey, </w:t>
      </w:r>
      <w:hyperlink r:id="rId17_0">
        <w:r>
          <w:rPr>
            <w:sz w:val="17"/>
            <w:u w:val="single"/>
          </w:rPr>
          <w:t>Policy engine guardrails</w:t>
        </w:r>
      </w:hyperlink>
      <w:r>
        <w:rPr>
          <w:sz w:val="17"/>
        </w:rPr>
        <w:t xml:space="preserve"> (Accessed 12 September 2026).</w:t>
      </w:r>
    </w:p>
  </w:footnote>
  <w:footnote w:id="18">
    <w:p>
      <w:pPr>
        <w:spacing w:after="35"/>
      </w:pPr>
      <w:r>
        <w:footnoteRef/>
      </w:r>
      <w:r>
        <w:rPr>
          <w:sz w:val="17"/>
        </w:rPr>
        <w:t xml:space="preserve"> Erebus, </w:t>
      </w:r>
      <w:hyperlink r:id="rId18_0">
        <w:r>
          <w:rPr>
            <w:sz w:val="17"/>
            <w:u w:val="single"/>
          </w:rPr>
          <w:t>Clean machine operator runbook</w:t>
        </w:r>
      </w:hyperlink>
      <w:r>
        <w:rPr>
          <w:sz w:val="17"/>
        </w:rPr>
        <w:t xml:space="preserve"> (Repository snapshot 11 September 2026).</w:t>
      </w:r>
    </w:p>
  </w:footnote>
  <w:footnote w:id="19">
    <w:p>
      <w:pPr>
        <w:spacing w:after="35"/>
      </w:pPr>
      <w:r>
        <w:footnoteRef/>
      </w:r>
      <w:r>
        <w:rPr>
          <w:sz w:val="17"/>
        </w:rPr>
        <w:t xml:space="preserve"> Coinbase Developer Platform, </w:t>
      </w:r>
      <w:hyperlink r:id="rId19_0">
        <w:r>
          <w:rPr>
            <w:sz w:val="17"/>
            <w:u w:val="single"/>
          </w:rPr>
          <w:t>x402 FAQ</w:t>
        </w:r>
      </w:hyperlink>
      <w:r>
        <w:rPr>
          <w:sz w:val="17"/>
        </w:rPr>
        <w:t xml:space="preserve"> (Accessed 12 September 2026)</w:t>
      </w:r>
      <w:r>
        <w:rPr>
          <w:sz w:val="17"/>
        </w:rPr>
        <w:t xml:space="preserve">; Coinbase Developer Platform, </w:t>
      </w:r>
      <w:hyperlink r:id="rId19_1">
        <w:r>
          <w:rPr>
            <w:sz w:val="17"/>
            <w:u w:val="single"/>
          </w:rPr>
          <w:t>CDP Facilitator</w:t>
        </w:r>
      </w:hyperlink>
      <w:r>
        <w:rPr>
          <w:sz w:val="17"/>
        </w:rPr>
        <w:t xml:space="preserve"> (Accessed 12 September 2026)</w:t>
      </w:r>
      <w:r>
        <w:rPr>
          <w:sz w:val="17"/>
        </w:rPr>
        <w:t xml:space="preserve">; Request Finance, </w:t>
      </w:r>
      <w:hyperlink r:id="rId19_2">
        <w:r>
          <w:rPr>
            <w:sz w:val="17"/>
            <w:u w:val="single"/>
          </w:rPr>
          <w:t>Pricing</w:t>
        </w:r>
      </w:hyperlink>
      <w:r>
        <w:rPr>
          <w:sz w:val="17"/>
        </w:rPr>
        <w:t xml:space="preserve"> (Accessed 12 September 2026; annual billing shown).</w:t>
      </w:r>
    </w:p>
  </w:footnote>
  <w:footnote w:id="20">
    <w:p>
      <w:pPr>
        <w:spacing w:after="35"/>
      </w:pPr>
      <w:r>
        <w:footnoteRef/>
      </w:r>
      <w:r>
        <w:rPr>
          <w:sz w:val="17"/>
        </w:rPr>
        <w:t xml:space="preserve"> Turnkey, </w:t>
      </w:r>
      <w:hyperlink r:id="rId20_0">
        <w:r>
          <w:rPr>
            <w:sz w:val="17"/>
            <w:u w:val="single"/>
          </w:rPr>
          <w:t>Pricing</w:t>
        </w:r>
      </w:hyperlink>
      <w:r>
        <w:rPr>
          <w:sz w:val="17"/>
        </w:rPr>
        <w:t xml:space="preserve"> (Accessed 12 September 2026).</w:t>
      </w:r>
    </w:p>
  </w:footnote>
  <w:footnote w:id="21">
    <w:p>
      <w:pPr>
        <w:spacing w:after="35"/>
      </w:pPr>
      <w:r>
        <w:footnoteRef/>
      </w:r>
      <w:r>
        <w:rPr>
          <w:sz w:val="17"/>
        </w:rPr>
        <w:t xml:space="preserve"> Erebus, </w:t>
      </w:r>
      <w:hyperlink r:id="rId21_0">
        <w:r>
          <w:rPr>
            <w:sz w:val="17"/>
            <w:u w:val="single"/>
          </w:rPr>
          <w:t>Mainnet 0.6/0.4 canary</w:t>
        </w:r>
      </w:hyperlink>
      <w:r>
        <w:rPr>
          <w:sz w:val="17"/>
        </w:rPr>
        <w:t xml:space="preserve"> (31 August 2026; verification added 1 September).</w:t>
      </w:r>
    </w:p>
  </w:footnote>
  <w:footnote w:id="22">
    <w:p>
      <w:pPr>
        <w:spacing w:after="35"/>
      </w:pPr>
      <w:r>
        <w:footnoteRef/>
      </w:r>
      <w:r>
        <w:rPr>
          <w:sz w:val="17"/>
        </w:rPr>
        <w:t xml:space="preserve"> Erebus, </w:t>
      </w:r>
      <w:hyperlink r:id="rId22_0">
        <w:r>
          <w:rPr>
            <w:sz w:val="17"/>
            <w:u w:val="single"/>
          </w:rPr>
          <w:t>X profile and launch thread</w:t>
        </w:r>
      </w:hyperlink>
      <w:r>
        <w:rPr>
          <w:sz w:val="17"/>
        </w:rPr>
        <w:t xml:space="preserve"> (11 September 2026; public counters observed 12 September 2026)</w:t>
      </w:r>
      <w:r>
        <w:rPr>
          <w:sz w:val="17"/>
        </w:rPr>
        <w:t xml:space="preserve">; Blue Clarity at Starknet, </w:t>
      </w:r>
      <w:hyperlink r:id="rId22_1">
        <w:r>
          <w:rPr>
            <w:sz w:val="17"/>
            <w:u w:val="single"/>
          </w:rPr>
          <w:t>Privacy is now live on Starknet</w:t>
        </w:r>
      </w:hyperlink>
      <w:r>
        <w:rPr>
          <w:sz w:val="17"/>
        </w:rPr>
        <w:t xml:space="preserve"> (9 June 2026).</w:t>
      </w:r>
    </w:p>
  </w:footnote>
  <w:footnote w:id="23">
    <w:p>
      <w:pPr>
        <w:spacing w:after="35"/>
      </w:pPr>
      <w:r>
        <w:footnoteRef/>
      </w:r>
      <w:r>
        <w:rPr>
          <w:sz w:val="17"/>
        </w:rPr>
        <w:t xml:space="preserve"> James Hawkins at PostHog, </w:t>
      </w:r>
      <w:hyperlink r:id="rId23_0">
        <w:r>
          <w:rPr>
            <w:sz w:val="17"/>
            <w:u w:val="single"/>
          </w:rPr>
          <w:t>How we got our first 1000 users</w:t>
        </w:r>
      </w:hyperlink>
      <w:r>
        <w:rPr>
          <w:sz w:val="17"/>
        </w:rPr>
        <w:t xml:space="preserve"> (2024; historical founder account).</w:t>
      </w:r>
    </w:p>
  </w:footnote>
  <w:footnote w:id="24">
    <w:p>
      <w:pPr>
        <w:spacing w:after="35"/>
      </w:pPr>
      <w:r>
        <w:footnoteRef/>
      </w:r>
      <w:r>
        <w:rPr>
          <w:sz w:val="17"/>
        </w:rPr>
        <w:t xml:space="preserve"> Ant Wilson at Supabase, </w:t>
      </w:r>
      <w:hyperlink r:id="rId24_0">
        <w:r>
          <w:rPr>
            <w:sz w:val="17"/>
            <w:u w:val="single"/>
          </w:rPr>
          <w:t>How we launch at Supabase</w:t>
        </w:r>
      </w:hyperlink>
      <w:r>
        <w:rPr>
          <w:sz w:val="17"/>
        </w:rPr>
        <w:t xml:space="preserve"> (26 November 2021; historical operating example).</w:t>
      </w:r>
    </w:p>
  </w:footnote>
  <w:footnote w:id="25">
    <w:p>
      <w:pPr>
        <w:spacing w:after="35"/>
      </w:pPr>
      <w:r>
        <w:footnoteRef/>
      </w:r>
      <w:r>
        <w:rPr>
          <w:sz w:val="17"/>
        </w:rPr>
        <w:t xml:space="preserve"> X Business, </w:t>
      </w:r>
      <w:hyperlink r:id="rId25_0">
        <w:r>
          <w:rPr>
            <w:sz w:val="17"/>
            <w:u w:val="single"/>
          </w:rPr>
          <w:t>Vertical video ads</w:t>
        </w:r>
      </w:hyperlink>
      <w:r>
        <w:rPr>
          <w:sz w:val="17"/>
        </w:rPr>
        <w:t xml:space="preserve"> (Accessed 12 September 2026; advertising guidance).</w:t>
      </w:r>
    </w:p>
  </w:footnote>
  <w:footnote w:id="26">
    <w:p>
      <w:pPr>
        <w:spacing w:after="35"/>
      </w:pPr>
      <w:r>
        <w:footnoteRef/>
      </w:r>
      <w:r>
        <w:rPr>
          <w:sz w:val="17"/>
        </w:rPr>
        <w:t xml:space="preserve"> Yijia Shao and coauthors, </w:t>
      </w:r>
      <w:hyperlink r:id="rId26_0">
        <w:r>
          <w:rPr>
            <w:sz w:val="17"/>
            <w:u w:val="single"/>
          </w:rPr>
          <w:t>PrivacyLens Evaluating Privacy Norm Awareness of Language Models in Action</w:t>
        </w:r>
      </w:hyperlink>
      <w:r>
        <w:rPr>
          <w:sz w:val="17"/>
        </w:rPr>
        <w:t xml:space="preserve"> (NeurIPS 2024; arXiv revision 14 March 2025)</w:t>
      </w:r>
      <w:r>
        <w:rPr>
          <w:sz w:val="17"/>
        </w:rPr>
        <w:t xml:space="preserve">; Pezeshkpour and Hruschka, </w:t>
      </w:r>
      <w:hyperlink r:id="rId26_1">
        <w:r>
          <w:rPr>
            <w:sz w:val="17"/>
            <w:u w:val="single"/>
          </w:rPr>
          <w:t>Large Language Models Sensitivity to The Order of Options in Multiple Choice Questions</w:t>
        </w:r>
      </w:hyperlink>
      <w:r>
        <w:rPr>
          <w:sz w:val="17"/>
        </w:rPr>
        <w:t xml:space="preserve"> (Findings of NAACL 2024).</w:t>
      </w:r>
    </w:p>
  </w:footnote>
  <w:footnote w:id="27">
    <w:p>
      <w:pPr>
        <w:spacing w:after="35"/>
      </w:pPr>
      <w:r>
        <w:footnoteRef/>
      </w:r>
      <w:r>
        <w:rPr>
          <w:sz w:val="17"/>
        </w:rPr>
        <w:t xml:space="preserve"> xAI, </w:t>
      </w:r>
      <w:hyperlink r:id="rId27_0">
        <w:r>
          <w:rPr>
            <w:sz w:val="17"/>
            <w:u w:val="single"/>
          </w:rPr>
          <w:t>Ranking parameters</w:t>
        </w:r>
      </w:hyperlink>
      <w:r>
        <w:rPr>
          <w:sz w:val="17"/>
        </w:rPr>
        <w:t xml:space="preserve"> (Snapshot 12 September 2026).</w:t>
      </w:r>
    </w:p>
  </w:footnote>
  <w:footnote w:id="28">
    <w:p>
      <w:pPr>
        <w:spacing w:after="35"/>
      </w:pPr>
      <w:r>
        <w:footnoteRef/>
      </w:r>
      <w:r>
        <w:rPr>
          <w:sz w:val="17"/>
        </w:rPr>
        <w:t xml:space="preserve"> Erebus, </w:t>
      </w:r>
      <w:hyperlink r:id="rId28_0">
        <w:r>
          <w:rPr>
            <w:sz w:val="17"/>
            <w:u w:val="single"/>
          </w:rPr>
          <w:t>Enable Vercel Web Analytics</w:t>
        </w:r>
      </w:hyperlink>
      <w:r>
        <w:rPr>
          <w:sz w:val="17"/>
        </w:rPr>
        <w:t xml:space="preserve"> (11 September 2026).</w:t>
      </w:r>
    </w:p>
  </w:footnote>
  <w:footnote w:id="29">
    <w:p>
      <w:pPr>
        <w:spacing w:after="35"/>
      </w:pPr>
      <w:r>
        <w:footnoteRef/>
      </w:r>
      <w:r>
        <w:rPr>
          <w:sz w:val="17"/>
        </w:rPr>
        <w:t xml:space="preserve"> X Help, </w:t>
      </w:r>
      <w:hyperlink r:id="rId29_0">
        <w:r>
          <w:rPr>
            <w:sz w:val="17"/>
            <w:u w:val="single"/>
          </w:rPr>
          <w:t>About view counts</w:t>
        </w:r>
      </w:hyperlink>
      <w:r>
        <w:rPr>
          <w:sz w:val="17"/>
        </w:rPr>
        <w:t xml:space="preserve"> (Accessed 12 September 2026)</w:t>
      </w:r>
      <w:r>
        <w:rPr>
          <w:sz w:val="17"/>
        </w:rPr>
        <w:t xml:space="preserve">; X Developer Platform, </w:t>
      </w:r>
      <w:hyperlink r:id="rId29_1">
        <w:r>
          <w:rPr>
            <w:sz w:val="17"/>
            <w:u w:val="single"/>
          </w:rPr>
          <w:t>API changelog</w:t>
        </w:r>
      </w:hyperlink>
      <w:r>
        <w:rPr>
          <w:sz w:val="17"/>
        </w:rPr>
        <w:t xml:space="preserve"> (Video metric update 13 August 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Erebus_pvt/status/2098411999470424286" TargetMode="External"/><Relationship Id="rId10" Type="http://schemas.openxmlformats.org/officeDocument/2006/relationships/hyperlink" Target="https://erebusagents.live/" TargetMode="External"/><Relationship Id="rId11" Type="http://schemas.openxmlformats.org/officeDocument/2006/relationships/hyperlink" Target="https://github.com/PoulavBhowmick03/Erebus/blob/c7795cd297e26bff71c7b524257b2c0723402d23/README.md" TargetMode="External"/><Relationship Id="rId12" Type="http://schemas.openxmlformats.org/officeDocument/2006/relationships/hyperlink" Target="https://github.com/PoulavBhowmick03/Erebus/blob/c7795cd297e26bff71c7b524257b2c0723402d23/docs/privacy-model.md" TargetMode="External"/><Relationship Id="rId13" Type="http://schemas.openxmlformats.org/officeDocument/2006/relationships/hyperlink" Target="https://github.com/PoulavBhowmick03/Erebus/blob/c7795cd297e26bff71c7b524257b2c0723402d23/docs/status.md" TargetMode="External"/><Relationship Id="rId14" Type="http://schemas.openxmlformats.org/officeDocument/2006/relationships/hyperlink" Target="https://github.com/PoulavBhowmick03/Erebus/blob/c7795cd297e26bff71c7b524257b2c0723402d23/docs/runs/2026-09-07-mainnet-2strk-agents.md" TargetMode="External"/><Relationship Id="rId15" Type="http://schemas.openxmlformats.org/officeDocument/2006/relationships/hyperlink" Target="https://github.com/PoulavBhowmick03/Erebus/blob/c7795cd297e26bff71c7b524257b2c0723402d23/docs/runs/2026-08-31-mainnet-060-040-canary.md" TargetMode="External"/><Relationship Id="rId16" Type="http://schemas.openxmlformats.org/officeDocument/2006/relationships/hyperlink" Target="https://github.com/PoulavBhowmick03/Erebus/blob/c7795cd297e26bff71c7b524257b2c0723402d23/docs/runbook.md" TargetMode="External"/><Relationship Id="rId17" Type="http://schemas.openxmlformats.org/officeDocument/2006/relationships/hyperlink" Target="https://github.com/xai-org/x-algorithm/blob/6bb4594253cdfa9ea19983a54a401d5ce8f8275d/README.md" TargetMode="External"/><Relationship Id="rId18" Type="http://schemas.openxmlformats.org/officeDocument/2006/relationships/hyperlink" Target="https://github.com/xai-org/x-algorithm/blob/6bb4594253cdfa9ea19983a54a401d5ce8f8275d/home-mixer/params/param.rs" TargetMode="External"/><Relationship Id="rId19" Type="http://schemas.openxmlformats.org/officeDocument/2006/relationships/hyperlink" Target="https://github.com/xai-org/x-algorithm/blob/6bb4594253cdfa9ea19983a54a401d5ce8f8275d/home-mixer/scorers/ranking_scorer.rs" TargetMode="External"/><Relationship Id="rId20" Type="http://schemas.openxmlformats.org/officeDocument/2006/relationships/hyperlink" Target="https://github.com/xai-org/x-algorithm/blob/6bb4594253cdfa9ea19983a54a401d5ce8f8275d/docs/BIDIRECTIONAL_BOOST_CHANGE.md" TargetMode="External"/><Relationship Id="rId21" Type="http://schemas.openxmlformats.org/officeDocument/2006/relationships/hyperlink" Target="https://github.com/xai-org/x-algorithm/blob/6bb4594253cdfa9ea19983a54a401d5ce8f8275d/home-mixer/filters/age_filter.rs" TargetMode="External"/><Relationship Id="rId22" Type="http://schemas.openxmlformats.org/officeDocument/2006/relationships/hyperlink" Target="https://github.com/xai-org/x-algorithm/blob/6bb4594253cdfa9ea19983a54a401d5ce8f8275d/home-mixer/scorers/author_cold_start.rs" TargetMode="External"/><Relationship Id="rId23" Type="http://schemas.openxmlformats.org/officeDocument/2006/relationships/hyperlink" Target="https://github.com/xai-org/x-algorithm/blob/6bb4594253cdfa9ea19983a54a401d5ce8f8275d/home-mixer/scorers/vm_ranker.rs" TargetMode="External"/><Relationship Id="rId24" Type="http://schemas.openxmlformats.org/officeDocument/2006/relationships/hyperlink" Target="https://help.x.com/en/using-x/view-counts" TargetMode="External"/><Relationship Id="rId25" Type="http://schemas.openxmlformats.org/officeDocument/2006/relationships/hyperlink" Target="https://help.x.com/en/using-x/articles" TargetMode="External"/><Relationship Id="rId26" Type="http://schemas.openxmlformats.org/officeDocument/2006/relationships/hyperlink" Target="https://help.x.com/en/using-x/x-premium" TargetMode="External"/><Relationship Id="rId27" Type="http://schemas.openxmlformats.org/officeDocument/2006/relationships/hyperlink" Target="https://help.x.com/en/rules-and-policies/authenticity" TargetMode="External"/><Relationship Id="rId28" Type="http://schemas.openxmlformats.org/officeDocument/2006/relationships/hyperlink" Target="https://docs.x.com/changelog" TargetMode="External"/><Relationship Id="rId29" Type="http://schemas.openxmlformats.org/officeDocument/2006/relationships/hyperlink" Target="https://business.x.com/en/products/vertical-video-ads" TargetMode="External"/><Relationship Id="rId30" Type="http://schemas.openxmlformats.org/officeDocument/2006/relationships/hyperlink" Target="https://supabase.com/blog/supabase-how-we-launch" TargetMode="External"/><Relationship Id="rId31" Type="http://schemas.openxmlformats.org/officeDocument/2006/relationships/hyperlink" Target="https://newsletter.posthog.com/p/how-we-got-our-first-1000-users" TargetMode="External"/><Relationship Id="rId32" Type="http://schemas.openxmlformats.org/officeDocument/2006/relationships/hyperlink" Target="https://docs.cdp.coinbase.com/x402/support/faq" TargetMode="External"/><Relationship Id="rId33" Type="http://schemas.openxmlformats.org/officeDocument/2006/relationships/hyperlink" Target="https://docs.cdp.coinbase.com/x402/seller/facilitator" TargetMode="External"/><Relationship Id="rId34" Type="http://schemas.openxmlformats.org/officeDocument/2006/relationships/hyperlink" Target="https://www.requestfinance.com/pricing" TargetMode="External"/><Relationship Id="rId35" Type="http://schemas.openxmlformats.org/officeDocument/2006/relationships/hyperlink" Target="https://docs.request.finance/" TargetMode="External"/><Relationship Id="rId36" Type="http://schemas.openxmlformats.org/officeDocument/2006/relationships/hyperlink" Target="https://www.turnkey.com/blog/turnkey-policy-engine-guardrails-web3-transactions" TargetMode="External"/><Relationship Id="rId37" Type="http://schemas.openxmlformats.org/officeDocument/2006/relationships/hyperlink" Target="https://privy.io/blog/turning-ai-agents-into-economic-actors-with-atxp" TargetMode="External"/><Relationship Id="rId38" Type="http://schemas.openxmlformats.org/officeDocument/2006/relationships/hyperlink" Target="https://www.starknet.io/blog/privacy-live-on-starknet/" TargetMode="External"/><Relationship Id="rId39" Type="http://schemas.openxmlformats.org/officeDocument/2006/relationships/hyperlink" Target="https://arxiv.org/abs/2409.00138" TargetMode="External"/><Relationship Id="rId40" Type="http://schemas.openxmlformats.org/officeDocument/2006/relationships/hyperlink" Target="https://aclanthology.org/2024.findings-naacl.130/" TargetMode="External"/><Relationship Id="rId41" Type="http://schemas.openxmlformats.org/officeDocument/2006/relationships/hyperlink" Target="https://github.com/PoulavBhowmick03/Erebus/commit/c7795cd297e26bff71c7b524257b2c0723402d23" TargetMode="External"/><Relationship Id="rId42" Type="http://schemas.openxmlformats.org/officeDocument/2006/relationships/hyperlink" Target="https://help.x.com/en/using-x/x-conversations" TargetMode="External"/><Relationship Id="rId43" Type="http://schemas.openxmlformats.org/officeDocument/2006/relationships/hyperlink" Target="https://www.turnkey.com/pricing" TargetMode="External"/><Relationship Id="rIdErebusFootnotes" Type="http://schemas.openxmlformats.org/officeDocument/2006/relationships/footnotes" Target="footnotes.xml"/></Relationships>
</file>

<file path=word/_rels/footnotes.xml.rels><?xml version='1.0' encoding='UTF-8' standalone='yes'?>
<Relationships xmlns="http://schemas.openxmlformats.org/package/2006/relationships"><Relationship Id="rId1_0" Type="http://schemas.openxmlformats.org/officeDocument/2006/relationships/hyperlink" Target="https://github.com/PoulavBhowmick03/Erebus/blob/c7795cd297e26bff71c7b524257b2c0723402d23/README.md" TargetMode="External"/><Relationship Id="rId1_1" Type="http://schemas.openxmlformats.org/officeDocument/2006/relationships/hyperlink" Target="https://github.com/PoulavBhowmick03/Erebus/blob/c7795cd297e26bff71c7b524257b2c0723402d23/docs/status.md" TargetMode="External"/><Relationship Id="rId2_0" Type="http://schemas.openxmlformats.org/officeDocument/2006/relationships/hyperlink" Target="https://x.com/Erebus_pvt/status/2098411999470424286" TargetMode="External"/><Relationship Id="rId3_0" Type="http://schemas.openxmlformats.org/officeDocument/2006/relationships/hyperlink" Target="https://help.x.com/en/using-x/view-counts" TargetMode="External"/><Relationship Id="rId4_0" Type="http://schemas.openxmlformats.org/officeDocument/2006/relationships/hyperlink" Target="https://erebusagents.live/" TargetMode="External"/><Relationship Id="rId5_0" Type="http://schemas.openxmlformats.org/officeDocument/2006/relationships/hyperlink" Target="https://github.com/xai-org/x-algorithm/blob/6bb4594253cdfa9ea19983a54a401d5ce8f8275d/README.md" TargetMode="External"/><Relationship Id="rId6_0" Type="http://schemas.openxmlformats.org/officeDocument/2006/relationships/hyperlink" Target="https://github.com/xai-org/x-algorithm/blob/6bb4594253cdfa9ea19983a54a401d5ce8f8275d/home-mixer/params/param.rs" TargetMode="External"/><Relationship Id="rId6_1" Type="http://schemas.openxmlformats.org/officeDocument/2006/relationships/hyperlink" Target="https://github.com/xai-org/x-algorithm/blob/6bb4594253cdfa9ea19983a54a401d5ce8f8275d/home-mixer/scorers/ranking_scorer.rs" TargetMode="External"/><Relationship Id="rId7_0" Type="http://schemas.openxmlformats.org/officeDocument/2006/relationships/hyperlink" Target="https://github.com/xai-org/x-algorithm/blob/6bb4594253cdfa9ea19983a54a401d5ce8f8275d/README.md" TargetMode="External"/><Relationship Id="rId7_1" Type="http://schemas.openxmlformats.org/officeDocument/2006/relationships/hyperlink" Target="https://github.com/xai-org/x-algorithm/blob/6bb4594253cdfa9ea19983a54a401d5ce8f8275d/home-mixer/filters/age_filter.rs" TargetMode="External"/><Relationship Id="rId8_0" Type="http://schemas.openxmlformats.org/officeDocument/2006/relationships/hyperlink" Target="https://github.com/xai-org/x-algorithm/blob/6bb4594253cdfa9ea19983a54a401d5ce8f8275d/home-mixer/scorers/author_cold_start.rs" TargetMode="External"/><Relationship Id="rId8_1" Type="http://schemas.openxmlformats.org/officeDocument/2006/relationships/hyperlink" Target="https://github.com/xai-org/x-algorithm/blob/6bb4594253cdfa9ea19983a54a401d5ce8f8275d/home-mixer/scorers/vm_ranker.rs" TargetMode="External"/><Relationship Id="rId9_0" Type="http://schemas.openxmlformats.org/officeDocument/2006/relationships/hyperlink" Target="https://github.com/xai-org/x-algorithm/blob/6bb4594253cdfa9ea19983a54a401d5ce8f8275d/home-mixer/params/param.rs" TargetMode="External"/><Relationship Id="rId10_0" Type="http://schemas.openxmlformats.org/officeDocument/2006/relationships/hyperlink" Target="https://github.com/xai-org/x-algorithm/blob/6bb4594253cdfa9ea19983a54a401d5ce8f8275d/docs/BIDIRECTIONAL_BOOST_CHANGE.md" TargetMode="External"/><Relationship Id="rId10_1" Type="http://schemas.openxmlformats.org/officeDocument/2006/relationships/hyperlink" Target="https://help.x.com/en/using-x/x-conversations" TargetMode="External"/><Relationship Id="rId11_0" Type="http://schemas.openxmlformats.org/officeDocument/2006/relationships/hyperlink" Target="https://help.x.com/en/using-x/articles" TargetMode="External"/><Relationship Id="rId11_1" Type="http://schemas.openxmlformats.org/officeDocument/2006/relationships/hyperlink" Target="https://help.x.com/en/using-x/x-premium" TargetMode="External"/><Relationship Id="rId12_0" Type="http://schemas.openxmlformats.org/officeDocument/2006/relationships/hyperlink" Target="https://help.x.com/en/rules-and-policies/authenticity" TargetMode="External"/><Relationship Id="rId13_0" Type="http://schemas.openxmlformats.org/officeDocument/2006/relationships/hyperlink" Target="https://github.com/PoulavBhowmick03/Erebus/blob/c7795cd297e26bff71c7b524257b2c0723402d23/docs/privacy-model.md" TargetMode="External"/><Relationship Id="rId13_1" Type="http://schemas.openxmlformats.org/officeDocument/2006/relationships/hyperlink" Target="https://github.com/PoulavBhowmick03/Erebus/blob/c7795cd297e26bff71c7b524257b2c0723402d23/docs/status.md" TargetMode="External"/><Relationship Id="rId14_0" Type="http://schemas.openxmlformats.org/officeDocument/2006/relationships/hyperlink" Target="https://github.com/PoulavBhowmick03/Erebus/blob/c7795cd297e26bff71c7b524257b2c0723402d23/docs/runs/2026-09-07-mainnet-2strk-agents.md" TargetMode="External"/><Relationship Id="rId15_0" Type="http://schemas.openxmlformats.org/officeDocument/2006/relationships/hyperlink" Target="https://docs.cdp.coinbase.com/x402/support/faq" TargetMode="External"/><Relationship Id="rId15_1" Type="http://schemas.openxmlformats.org/officeDocument/2006/relationships/hyperlink" Target="https://docs.request.finance/" TargetMode="External"/><Relationship Id="rId15_2" Type="http://schemas.openxmlformats.org/officeDocument/2006/relationships/hyperlink" Target="https://www.turnkey.com/blog/turnkey-policy-engine-guardrails-web3-transactions" TargetMode="External"/><Relationship Id="rId15_3" Type="http://schemas.openxmlformats.org/officeDocument/2006/relationships/hyperlink" Target="https://www.starknet.io/blog/privacy-live-on-starknet/" TargetMode="External"/><Relationship Id="rId16_0" Type="http://schemas.openxmlformats.org/officeDocument/2006/relationships/hyperlink" Target="https://privy.io/blog/turning-ai-agents-into-economic-actors-with-atxp" TargetMode="External"/><Relationship Id="rId17_0" Type="http://schemas.openxmlformats.org/officeDocument/2006/relationships/hyperlink" Target="https://www.turnkey.com/blog/turnkey-policy-engine-guardrails-web3-transactions" TargetMode="External"/><Relationship Id="rId18_0" Type="http://schemas.openxmlformats.org/officeDocument/2006/relationships/hyperlink" Target="https://github.com/PoulavBhowmick03/Erebus/blob/c7795cd297e26bff71c7b524257b2c0723402d23/docs/runbook.md" TargetMode="External"/><Relationship Id="rId19_0" Type="http://schemas.openxmlformats.org/officeDocument/2006/relationships/hyperlink" Target="https://docs.cdp.coinbase.com/x402/support/faq" TargetMode="External"/><Relationship Id="rId19_1" Type="http://schemas.openxmlformats.org/officeDocument/2006/relationships/hyperlink" Target="https://docs.cdp.coinbase.com/x402/seller/facilitator" TargetMode="External"/><Relationship Id="rId19_2" Type="http://schemas.openxmlformats.org/officeDocument/2006/relationships/hyperlink" Target="https://www.requestfinance.com/pricing" TargetMode="External"/><Relationship Id="rId20_0" Type="http://schemas.openxmlformats.org/officeDocument/2006/relationships/hyperlink" Target="https://www.turnkey.com/pricing" TargetMode="External"/><Relationship Id="rId21_0" Type="http://schemas.openxmlformats.org/officeDocument/2006/relationships/hyperlink" Target="https://github.com/PoulavBhowmick03/Erebus/blob/c7795cd297e26bff71c7b524257b2c0723402d23/docs/runs/2026-08-31-mainnet-060-040-canary.md" TargetMode="External"/><Relationship Id="rId22_0" Type="http://schemas.openxmlformats.org/officeDocument/2006/relationships/hyperlink" Target="https://x.com/Erebus_pvt/status/2098411999470424286" TargetMode="External"/><Relationship Id="rId22_1" Type="http://schemas.openxmlformats.org/officeDocument/2006/relationships/hyperlink" Target="https://www.starknet.io/blog/privacy-live-on-starknet/" TargetMode="External"/><Relationship Id="rId23_0" Type="http://schemas.openxmlformats.org/officeDocument/2006/relationships/hyperlink" Target="https://newsletter.posthog.com/p/how-we-got-our-first-1000-users" TargetMode="External"/><Relationship Id="rId24_0" Type="http://schemas.openxmlformats.org/officeDocument/2006/relationships/hyperlink" Target="https://supabase.com/blog/supabase-how-we-launch" TargetMode="External"/><Relationship Id="rId25_0" Type="http://schemas.openxmlformats.org/officeDocument/2006/relationships/hyperlink" Target="https://business.x.com/en/products/vertical-video-ads" TargetMode="External"/><Relationship Id="rId26_0" Type="http://schemas.openxmlformats.org/officeDocument/2006/relationships/hyperlink" Target="https://arxiv.org/abs/2409.00138" TargetMode="External"/><Relationship Id="rId26_1" Type="http://schemas.openxmlformats.org/officeDocument/2006/relationships/hyperlink" Target="https://aclanthology.org/2024.findings-naacl.130/" TargetMode="External"/><Relationship Id="rId27_0" Type="http://schemas.openxmlformats.org/officeDocument/2006/relationships/hyperlink" Target="https://github.com/xai-org/x-algorithm/blob/6bb4594253cdfa9ea19983a54a401d5ce8f8275d/home-mixer/params/param.rs" TargetMode="External"/><Relationship Id="rId28_0" Type="http://schemas.openxmlformats.org/officeDocument/2006/relationships/hyperlink" Target="https://github.com/PoulavBhowmick03/Erebus/commit/c7795cd297e26bff71c7b524257b2c0723402d23" TargetMode="External"/><Relationship Id="rId29_0" Type="http://schemas.openxmlformats.org/officeDocument/2006/relationships/hyperlink" Target="https://help.x.com/en/using-x/view-counts" TargetMode="External"/><Relationship Id="rId29_1" Type="http://schemas.openxmlformats.org/officeDocument/2006/relationships/hyperlink" Target="https://docs.x.com/change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Erebus Product and Growth Strategy</dc:title>
  <dc:subject>Erebus product strategy and X go to market planning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